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p/>
    <w:p/>
    <w:p/>
    <w:p/>
    <w:p/>
    <w:p/>
    <w:p/>
    <w:p/>
    <w:p/>
    <w:p/>
    <w:p/>
    <w:p/>
    <w:p>
      <w:pPr>
        <w:jc w:val="center"/>
        <w:rPr>
          <w:rFonts w:hint="default" w:ascii="微软雅黑" w:hAnsi="微软雅黑" w:eastAsia="微软雅黑" w:cs="微软雅黑"/>
          <w:sz w:val="52"/>
          <w:szCs w:val="72"/>
          <w:lang w:eastAsia="zh-Hans"/>
        </w:rPr>
      </w:pPr>
      <w:r>
        <w:rPr>
          <w:rFonts w:hint="eastAsia" w:ascii="微软雅黑" w:hAnsi="微软雅黑" w:eastAsia="微软雅黑" w:cs="微软雅黑"/>
          <w:sz w:val="52"/>
          <w:szCs w:val="72"/>
          <w:lang w:val="en-US" w:eastAsia="zh-Hans"/>
        </w:rPr>
        <w:t>云犀</w:t>
      </w:r>
      <w:r>
        <w:rPr>
          <w:rFonts w:hint="default" w:ascii="微软雅黑" w:hAnsi="微软雅黑" w:eastAsia="微软雅黑" w:cs="微软雅黑"/>
          <w:sz w:val="52"/>
          <w:szCs w:val="72"/>
          <w:lang w:eastAsia="zh-Hans"/>
        </w:rPr>
        <w:t>BOX 5.0 V</w:t>
      </w:r>
      <w:r>
        <w:rPr>
          <w:rFonts w:hint="default" w:ascii="微软雅黑" w:hAnsi="微软雅黑" w:eastAsia="微软雅黑" w:cs="微软雅黑"/>
          <w:sz w:val="52"/>
          <w:szCs w:val="72"/>
          <w:lang w:eastAsia="zh-Hans"/>
        </w:rPr>
        <w:t>0</w:t>
      </w:r>
      <w:r>
        <w:rPr>
          <w:rFonts w:hint="default" w:ascii="微软雅黑" w:hAnsi="微软雅黑" w:eastAsia="微软雅黑" w:cs="微软雅黑"/>
          <w:sz w:val="52"/>
          <w:szCs w:val="72"/>
          <w:lang w:eastAsia="zh-Hans"/>
        </w:rPr>
        <w:t>.</w:t>
      </w:r>
      <w:r>
        <w:rPr>
          <w:rFonts w:hint="default" w:ascii="微软雅黑" w:hAnsi="微软雅黑" w:eastAsia="微软雅黑" w:cs="微软雅黑"/>
          <w:sz w:val="52"/>
          <w:szCs w:val="72"/>
          <w:lang w:eastAsia="zh-Hans"/>
        </w:rPr>
        <w:t>9</w:t>
      </w:r>
      <w:r>
        <w:rPr>
          <w:rFonts w:hint="default" w:ascii="微软雅黑" w:hAnsi="微软雅黑" w:eastAsia="微软雅黑" w:cs="微软雅黑"/>
          <w:sz w:val="52"/>
          <w:szCs w:val="72"/>
          <w:lang w:eastAsia="zh-Hans"/>
        </w:rPr>
        <w:t>.0.0</w:t>
      </w:r>
    </w:p>
    <w:p>
      <w:pPr>
        <w:jc w:val="center"/>
        <w:rPr>
          <w:rFonts w:hint="default" w:ascii="微软雅黑" w:hAnsi="微软雅黑" w:eastAsia="微软雅黑" w:cs="微软雅黑"/>
          <w:sz w:val="52"/>
          <w:szCs w:val="72"/>
          <w:lang w:val="en-US" w:eastAsia="zh-Hans"/>
        </w:rPr>
      </w:pPr>
      <w:r>
        <w:rPr>
          <w:rFonts w:hint="eastAsia" w:ascii="微软雅黑" w:hAnsi="微软雅黑" w:eastAsia="微软雅黑" w:cs="微软雅黑"/>
          <w:sz w:val="52"/>
          <w:szCs w:val="72"/>
          <w:lang w:val="en-US" w:eastAsia="zh-Hans"/>
        </w:rPr>
        <w:t>软件操作说明书</w:t>
      </w:r>
    </w:p>
    <w:p>
      <w:pPr>
        <w:jc w:val="center"/>
        <w:rPr>
          <w:rFonts w:hint="eastAsia" w:ascii="微软雅黑" w:hAnsi="微软雅黑" w:eastAsia="微软雅黑" w:cs="微软雅黑"/>
          <w:sz w:val="52"/>
          <w:szCs w:val="72"/>
          <w:lang w:val="en-US" w:eastAsia="zh-Hans"/>
        </w:rPr>
      </w:pPr>
    </w:p>
    <w:p>
      <w:pPr>
        <w:jc w:val="center"/>
        <w:rPr>
          <w:rFonts w:hint="eastAsia" w:ascii="微软雅黑" w:hAnsi="微软雅黑" w:eastAsia="微软雅黑" w:cs="微软雅黑"/>
          <w:sz w:val="52"/>
          <w:szCs w:val="72"/>
          <w:lang w:val="en-US" w:eastAsia="zh-Hans"/>
        </w:rPr>
      </w:pPr>
    </w:p>
    <w:p>
      <w:pPr>
        <w:jc w:val="center"/>
        <w:rPr>
          <w:rFonts w:hint="eastAsia" w:ascii="微软雅黑" w:hAnsi="微软雅黑" w:eastAsia="微软雅黑" w:cs="微软雅黑"/>
          <w:sz w:val="52"/>
          <w:szCs w:val="72"/>
          <w:lang w:val="en-US" w:eastAsia="zh-Hans"/>
        </w:rPr>
      </w:pPr>
    </w:p>
    <w:p>
      <w:pPr>
        <w:pStyle w:val="3"/>
        <w:spacing w:line="204" w:lineRule="auto"/>
        <w:sectPr>
          <w:pgSz w:w="13335" w:h="16830"/>
          <w:pgMar w:top="1440" w:right="1080" w:bottom="1440" w:left="1080" w:header="638" w:footer="691" w:gutter="0"/>
          <w:cols w:space="720" w:num="1"/>
        </w:sectPr>
      </w:pPr>
      <w:bookmarkStart w:id="53" w:name="_GoBack"/>
      <w:bookmarkEnd w:id="53"/>
    </w:p>
    <w:p>
      <w:pPr>
        <w:pStyle w:val="10"/>
        <w:tabs>
          <w:tab w:val="right" w:leader="dot" w:pos="11175"/>
        </w:tabs>
      </w:pPr>
      <w:r>
        <w:fldChar w:fldCharType="begin"/>
      </w:r>
      <w:r>
        <w:instrText xml:space="preserve">TOC \o "1-5" \h \u </w:instrText>
      </w:r>
      <w:r>
        <w:fldChar w:fldCharType="separate"/>
      </w:r>
      <w:r>
        <w:fldChar w:fldCharType="begin"/>
      </w:r>
      <w:r>
        <w:instrText xml:space="preserve"> HYPERLINK \l _Toc1196434478 </w:instrText>
      </w:r>
      <w:r>
        <w:fldChar w:fldCharType="separate"/>
      </w:r>
      <w:r>
        <w:t>第一部分：设备介绍</w:t>
      </w:r>
      <w:r>
        <w:tab/>
      </w:r>
      <w:r>
        <w:fldChar w:fldCharType="begin"/>
      </w:r>
      <w:r>
        <w:instrText xml:space="preserve"> PAGEREF _Toc1196434478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_Toc1584884885 </w:instrText>
      </w:r>
      <w:r>
        <w:fldChar w:fldCharType="separate"/>
      </w:r>
      <w:r>
        <w:t>一、接口</w:t>
      </w:r>
      <w:r>
        <w:tab/>
      </w:r>
      <w:r>
        <w:fldChar w:fldCharType="begin"/>
      </w:r>
      <w:r>
        <w:instrText xml:space="preserve"> PAGEREF _Toc1584884885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_Toc1920588454 </w:instrText>
      </w:r>
      <w:r>
        <w:fldChar w:fldCharType="separate"/>
      </w:r>
      <w:r>
        <w:t>二、开关机</w:t>
      </w:r>
      <w:r>
        <w:tab/>
      </w:r>
      <w:r>
        <w:fldChar w:fldCharType="begin"/>
      </w:r>
      <w:r>
        <w:instrText xml:space="preserve"> PAGEREF _Toc1920588454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_Toc503448321 </w:instrText>
      </w:r>
      <w:r>
        <w:fldChar w:fldCharType="separate"/>
      </w:r>
      <w:r>
        <w:t>1. 如何开机</w:t>
      </w:r>
      <w:r>
        <w:tab/>
      </w:r>
      <w:r>
        <w:fldChar w:fldCharType="begin"/>
      </w:r>
      <w:r>
        <w:instrText xml:space="preserve"> PAGEREF _Toc503448321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_Toc370361867 </w:instrText>
      </w:r>
      <w:r>
        <w:fldChar w:fldCharType="separate"/>
      </w:r>
      <w:r>
        <w:t>2. 如何关机</w:t>
      </w:r>
      <w:r>
        <w:tab/>
      </w:r>
      <w:r>
        <w:fldChar w:fldCharType="begin"/>
      </w:r>
      <w:r>
        <w:instrText xml:space="preserve"> PAGEREF _Toc370361867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_Toc1264289663 </w:instrText>
      </w:r>
      <w:r>
        <w:fldChar w:fldCharType="separate"/>
      </w:r>
      <w:r>
        <w:t>3. 如何重启</w:t>
      </w:r>
      <w:r>
        <w:tab/>
      </w:r>
      <w:r>
        <w:fldChar w:fldCharType="begin"/>
      </w:r>
      <w:r>
        <w:instrText xml:space="preserve"> PAGEREF _Toc1264289663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_Toc1713162623 </w:instrText>
      </w:r>
      <w:r>
        <w:fldChar w:fldCharType="separate"/>
      </w:r>
      <w:r>
        <w:t>三、省电模式</w:t>
      </w:r>
      <w:r>
        <w:tab/>
      </w:r>
      <w:r>
        <w:fldChar w:fldCharType="begin"/>
      </w:r>
      <w:r>
        <w:instrText xml:space="preserve"> PAGEREF _Toc1713162623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_Toc1810949432 </w:instrText>
      </w:r>
      <w:r>
        <w:fldChar w:fldCharType="separate"/>
      </w:r>
      <w:r>
        <w:t>1. 如何进入省电模式</w:t>
      </w:r>
      <w:r>
        <w:tab/>
      </w:r>
      <w:r>
        <w:fldChar w:fldCharType="begin"/>
      </w:r>
      <w:r>
        <w:instrText xml:space="preserve"> PAGEREF _Toc1810949432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_Toc341374693 </w:instrText>
      </w:r>
      <w:r>
        <w:fldChar w:fldCharType="separate"/>
      </w:r>
      <w:r>
        <w:t>2. 省电模式中</w:t>
      </w:r>
      <w:r>
        <w:tab/>
      </w:r>
      <w:r>
        <w:fldChar w:fldCharType="begin"/>
      </w:r>
      <w:r>
        <w:instrText xml:space="preserve"> PAGEREF _Toc341374693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_Toc1555644114 </w:instrText>
      </w:r>
      <w:r>
        <w:fldChar w:fldCharType="separate"/>
      </w:r>
      <w:r>
        <w:t>3. 如何退出省电模式</w:t>
      </w:r>
      <w:r>
        <w:tab/>
      </w:r>
      <w:r>
        <w:fldChar w:fldCharType="begin"/>
      </w:r>
      <w:r>
        <w:instrText xml:space="preserve"> PAGEREF _Toc1555644114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_Toc97221773 </w:instrText>
      </w:r>
      <w:r>
        <w:fldChar w:fldCharType="separate"/>
      </w:r>
      <w:r>
        <w:t>四、注册&amp;登录</w:t>
      </w:r>
      <w:r>
        <w:tab/>
      </w:r>
      <w:r>
        <w:fldChar w:fldCharType="begin"/>
      </w:r>
      <w:r>
        <w:instrText xml:space="preserve"> PAGEREF _Toc97221773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1175"/>
        </w:tabs>
      </w:pPr>
      <w:r>
        <w:fldChar w:fldCharType="begin"/>
      </w:r>
      <w:r>
        <w:instrText xml:space="preserve"> HYPERLINK \l _Toc1918767091 </w:instrText>
      </w:r>
      <w:r>
        <w:fldChar w:fldCharType="separate"/>
      </w:r>
      <w:r>
        <w:t>第二部分：联网</w:t>
      </w:r>
      <w:r>
        <w:tab/>
      </w:r>
      <w:r>
        <w:fldChar w:fldCharType="begin"/>
      </w:r>
      <w:r>
        <w:instrText xml:space="preserve"> PAGEREF _Toc1918767091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_Toc2104055085 </w:instrText>
      </w:r>
      <w:r>
        <w:fldChar w:fldCharType="separate"/>
      </w:r>
      <w:r>
        <w:t>一、连接网络</w:t>
      </w:r>
      <w:r>
        <w:tab/>
      </w:r>
      <w:r>
        <w:fldChar w:fldCharType="begin"/>
      </w:r>
      <w:r>
        <w:instrText xml:space="preserve"> PAGEREF _Toc2104055085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_Toc240598446 </w:instrText>
      </w:r>
      <w:r>
        <w:fldChar w:fldCharType="separate"/>
      </w:r>
      <w:r>
        <w:t>二、网络聚合</w:t>
      </w:r>
      <w:r>
        <w:tab/>
      </w:r>
      <w:r>
        <w:fldChar w:fldCharType="begin"/>
      </w:r>
      <w:r>
        <w:instrText xml:space="preserve"> PAGEREF _Toc240598446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_Toc26374621 </w:instrText>
      </w:r>
      <w:r>
        <w:fldChar w:fldCharType="separate"/>
      </w:r>
      <w:r>
        <w:t>1. 如何开启网络聚合</w:t>
      </w:r>
      <w:r>
        <w:tab/>
      </w:r>
      <w:r>
        <w:fldChar w:fldCharType="begin"/>
      </w:r>
      <w:r>
        <w:instrText xml:space="preserve"> PAGEREF _Toc26374621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_Toc896623865 </w:instrText>
      </w:r>
      <w:r>
        <w:fldChar w:fldCharType="separate"/>
      </w:r>
      <w:r>
        <w:t>2. 如何关闭网络聚合</w:t>
      </w:r>
      <w:r>
        <w:tab/>
      </w:r>
      <w:r>
        <w:fldChar w:fldCharType="begin"/>
      </w:r>
      <w:r>
        <w:instrText xml:space="preserve"> PAGEREF _Toc896623865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1175"/>
        </w:tabs>
      </w:pPr>
      <w:r>
        <w:fldChar w:fldCharType="begin"/>
      </w:r>
      <w:r>
        <w:instrText xml:space="preserve"> HYPERLINK \l _Toc664548056 </w:instrText>
      </w:r>
      <w:r>
        <w:fldChar w:fldCharType="separate"/>
      </w:r>
      <w:r>
        <w:t>第三部分：直播&amp;导播</w:t>
      </w:r>
      <w:r>
        <w:tab/>
      </w:r>
      <w:r>
        <w:fldChar w:fldCharType="begin"/>
      </w:r>
      <w:r>
        <w:instrText xml:space="preserve"> PAGEREF _Toc664548056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_Toc2144212792 </w:instrText>
      </w:r>
      <w:r>
        <w:fldChar w:fldCharType="separate"/>
      </w:r>
      <w:r>
        <w:t>一、如何竖屏直播</w:t>
      </w:r>
      <w:r>
        <w:tab/>
      </w:r>
      <w:r>
        <w:fldChar w:fldCharType="begin"/>
      </w:r>
      <w:r>
        <w:instrText xml:space="preserve"> PAGEREF _Toc2144212792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_Toc861314837 </w:instrText>
      </w:r>
      <w:r>
        <w:fldChar w:fldCharType="separate"/>
      </w:r>
      <w:r>
        <w:t>类型一：第三方应用竖屏直播</w:t>
      </w:r>
      <w:r>
        <w:tab/>
      </w:r>
      <w:r>
        <w:fldChar w:fldCharType="begin"/>
      </w:r>
      <w:r>
        <w:instrText xml:space="preserve"> PAGEREF _Toc861314837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_Toc2078684679 </w:instrText>
      </w:r>
      <w:r>
        <w:fldChar w:fldCharType="separate"/>
      </w:r>
      <w:r>
        <w:t>1. 进入云犀管家下载应用</w:t>
      </w:r>
      <w:r>
        <w:tab/>
      </w:r>
      <w:r>
        <w:fldChar w:fldCharType="begin"/>
      </w:r>
      <w:r>
        <w:instrText xml:space="preserve"> PAGEREF _Toc2078684679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_Toc1189430557 </w:instrText>
      </w:r>
      <w:r>
        <w:fldChar w:fldCharType="separate"/>
      </w:r>
      <w:r>
        <w:t>2. 进入应用开播</w:t>
      </w:r>
      <w:r>
        <w:tab/>
      </w:r>
      <w:r>
        <w:fldChar w:fldCharType="begin"/>
      </w:r>
      <w:r>
        <w:instrText xml:space="preserve"> PAGEREF _Toc1189430557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_Toc1981585223 </w:instrText>
      </w:r>
      <w:r>
        <w:fldChar w:fldCharType="separate"/>
      </w:r>
      <w:r>
        <w:t>类型二：云犀直播竖屏直播</w:t>
      </w:r>
      <w:r>
        <w:tab/>
      </w:r>
      <w:r>
        <w:fldChar w:fldCharType="begin"/>
      </w:r>
      <w:r>
        <w:instrText xml:space="preserve"> PAGEREF _Toc1981585223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_Toc1326445285 </w:instrText>
      </w:r>
      <w:r>
        <w:fldChar w:fldCharType="separate"/>
      </w:r>
      <w:r>
        <w:t>1. 进入云犀直播</w:t>
      </w:r>
      <w:r>
        <w:tab/>
      </w:r>
      <w:r>
        <w:fldChar w:fldCharType="begin"/>
      </w:r>
      <w:r>
        <w:instrText xml:space="preserve"> PAGEREF _Toc1326445285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_Toc538165488 </w:instrText>
      </w:r>
      <w:r>
        <w:fldChar w:fldCharType="separate"/>
      </w:r>
      <w:r>
        <w:t>2. 选择竖屏直播</w:t>
      </w:r>
      <w:r>
        <w:tab/>
      </w:r>
      <w:r>
        <w:fldChar w:fldCharType="begin"/>
      </w:r>
      <w:r>
        <w:instrText xml:space="preserve"> PAGEREF _Toc538165488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_Toc1893719299 </w:instrText>
      </w:r>
      <w:r>
        <w:fldChar w:fldCharType="separate"/>
      </w:r>
      <w:r>
        <w:t>二、如何横屏直播</w:t>
      </w:r>
      <w:r>
        <w:tab/>
      </w:r>
      <w:r>
        <w:fldChar w:fldCharType="begin"/>
      </w:r>
      <w:r>
        <w:instrText xml:space="preserve"> PAGEREF _Toc1893719299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_Toc2032609753 </w:instrText>
      </w:r>
      <w:r>
        <w:fldChar w:fldCharType="separate"/>
      </w:r>
      <w:r>
        <w:t>1. 进入云犀直播</w:t>
      </w:r>
      <w:r>
        <w:tab/>
      </w:r>
      <w:r>
        <w:fldChar w:fldCharType="begin"/>
      </w:r>
      <w:r>
        <w:instrText xml:space="preserve"> PAGEREF _Toc2032609753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_Toc2049745842 </w:instrText>
      </w:r>
      <w:r>
        <w:fldChar w:fldCharType="separate"/>
      </w:r>
      <w:r>
        <w:t>2. 选择横屏直播</w:t>
      </w:r>
      <w:r>
        <w:tab/>
      </w:r>
      <w:r>
        <w:fldChar w:fldCharType="begin"/>
      </w:r>
      <w:r>
        <w:instrText xml:space="preserve"> PAGEREF _Toc2049745842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_Toc145701320 </w:instrText>
      </w:r>
      <w:r>
        <w:fldChar w:fldCharType="separate"/>
      </w:r>
      <w:r>
        <w:t>三、导播功能介绍（视频源）</w:t>
      </w:r>
      <w:r>
        <w:tab/>
      </w:r>
      <w:r>
        <w:fldChar w:fldCharType="begin"/>
      </w:r>
      <w:r>
        <w:instrText xml:space="preserve"> PAGEREF _Toc145701320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_Toc670727660 </w:instrText>
      </w:r>
      <w:r>
        <w:fldChar w:fldCharType="separate"/>
      </w:r>
      <w:r>
        <w:t>模式一：竖屏模式下</w:t>
      </w:r>
      <w:r>
        <w:tab/>
      </w:r>
      <w:r>
        <w:fldChar w:fldCharType="begin"/>
      </w:r>
      <w:r>
        <w:instrText xml:space="preserve"> PAGEREF _Toc670727660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_Toc778118517 </w:instrText>
      </w:r>
      <w:r>
        <w:fldChar w:fldCharType="separate"/>
      </w:r>
      <w:r>
        <w:t>1. 外接物理视频源</w:t>
      </w:r>
      <w:r>
        <w:tab/>
      </w:r>
      <w:r>
        <w:fldChar w:fldCharType="begin"/>
      </w:r>
      <w:r>
        <w:instrText xml:space="preserve"> PAGEREF _Toc778118517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_Toc1809988636 </w:instrText>
      </w:r>
      <w:r>
        <w:fldChar w:fldCharType="separate"/>
      </w:r>
      <w:r>
        <w:t>2. 本地视频</w:t>
      </w:r>
      <w:r>
        <w:tab/>
      </w:r>
      <w:r>
        <w:fldChar w:fldCharType="begin"/>
      </w:r>
      <w:r>
        <w:instrText xml:space="preserve"> PAGEREF _Toc1809988636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_Toc1373145497 </w:instrText>
      </w:r>
      <w:r>
        <w:fldChar w:fldCharType="separate"/>
      </w:r>
      <w:r>
        <w:t>3. 视频源组合模版</w:t>
      </w:r>
      <w:r>
        <w:tab/>
      </w:r>
      <w:r>
        <w:fldChar w:fldCharType="begin"/>
      </w:r>
      <w:r>
        <w:instrText xml:space="preserve"> PAGEREF _Toc1373145497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_Toc1597097417 </w:instrText>
      </w:r>
      <w:r>
        <w:fldChar w:fldCharType="separate"/>
      </w:r>
      <w:r>
        <w:t>模式二：横屏模式下</w:t>
      </w:r>
      <w:r>
        <w:tab/>
      </w:r>
      <w:r>
        <w:fldChar w:fldCharType="begin"/>
      </w:r>
      <w:r>
        <w:instrText xml:space="preserve"> PAGEREF _Toc1597097417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_Toc1018183666 </w:instrText>
      </w:r>
      <w:r>
        <w:fldChar w:fldCharType="separate"/>
      </w:r>
      <w:r>
        <w:t>1. 外接物理视频源</w:t>
      </w:r>
      <w:r>
        <w:tab/>
      </w:r>
      <w:r>
        <w:fldChar w:fldCharType="begin"/>
      </w:r>
      <w:r>
        <w:instrText xml:space="preserve"> PAGEREF _Toc1018183666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_Toc1463175166 </w:instrText>
      </w:r>
      <w:r>
        <w:fldChar w:fldCharType="separate"/>
      </w:r>
      <w:r>
        <w:t>2. 本地视频</w:t>
      </w:r>
      <w:r>
        <w:tab/>
      </w:r>
      <w:r>
        <w:fldChar w:fldCharType="begin"/>
      </w:r>
      <w:r>
        <w:instrText xml:space="preserve"> PAGEREF _Toc1463175166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_Toc749773165 </w:instrText>
      </w:r>
      <w:r>
        <w:fldChar w:fldCharType="separate"/>
      </w:r>
      <w:r>
        <w:t>3. 视频源组合模版</w:t>
      </w:r>
      <w:r>
        <w:tab/>
      </w:r>
      <w:r>
        <w:fldChar w:fldCharType="begin"/>
      </w:r>
      <w:r>
        <w:instrText xml:space="preserve"> PAGEREF _Toc749773165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_Toc3543559 </w:instrText>
      </w:r>
      <w:r>
        <w:fldChar w:fldCharType="separate"/>
      </w:r>
      <w:r>
        <w:t>四、贴片、调音、录制、设置功能介绍</w:t>
      </w:r>
      <w:r>
        <w:tab/>
      </w:r>
      <w:r>
        <w:fldChar w:fldCharType="begin"/>
      </w:r>
      <w:r>
        <w:instrText xml:space="preserve"> PAGEREF _Toc3543559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_Toc1574537644 </w:instrText>
      </w:r>
      <w:r>
        <w:fldChar w:fldCharType="separate"/>
      </w:r>
      <w:r>
        <w:t>模式一：竖屏模式下</w:t>
      </w:r>
      <w:r>
        <w:tab/>
      </w:r>
      <w:r>
        <w:fldChar w:fldCharType="begin"/>
      </w:r>
      <w:r>
        <w:instrText xml:space="preserve"> PAGEREF _Toc1574537644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_Toc1960684374 </w:instrText>
      </w:r>
      <w:r>
        <w:fldChar w:fldCharType="separate"/>
      </w:r>
      <w:r>
        <w:t>1. 贴片</w:t>
      </w:r>
      <w:r>
        <w:tab/>
      </w:r>
      <w:r>
        <w:fldChar w:fldCharType="begin"/>
      </w:r>
      <w:r>
        <w:instrText xml:space="preserve"> PAGEREF _Toc1960684374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_Toc85710603 </w:instrText>
      </w:r>
      <w:r>
        <w:fldChar w:fldCharType="separate"/>
      </w:r>
      <w:r>
        <w:t>2. 调音</w:t>
      </w:r>
      <w:r>
        <w:tab/>
      </w:r>
      <w:r>
        <w:fldChar w:fldCharType="begin"/>
      </w:r>
      <w:r>
        <w:instrText xml:space="preserve"> PAGEREF _Toc85710603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_Toc1724061131 </w:instrText>
      </w:r>
      <w:r>
        <w:fldChar w:fldCharType="separate"/>
      </w:r>
      <w:r>
        <w:t>3. 录制</w:t>
      </w:r>
      <w:r>
        <w:tab/>
      </w:r>
      <w:r>
        <w:fldChar w:fldCharType="begin"/>
      </w:r>
      <w:r>
        <w:instrText xml:space="preserve"> PAGEREF _Toc1724061131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_Toc298579746 </w:instrText>
      </w:r>
      <w:r>
        <w:fldChar w:fldCharType="separate"/>
      </w:r>
      <w:r>
        <w:t>4. 设置</w:t>
      </w:r>
      <w:r>
        <w:tab/>
      </w:r>
      <w:r>
        <w:fldChar w:fldCharType="begin"/>
      </w:r>
      <w:r>
        <w:instrText xml:space="preserve"> PAGEREF _Toc298579746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9"/>
        <w:tabs>
          <w:tab w:val="right" w:leader="dot" w:pos="11175"/>
        </w:tabs>
      </w:pPr>
      <w:r>
        <w:fldChar w:fldCharType="begin"/>
      </w:r>
      <w:r>
        <w:instrText xml:space="preserve"> HYPERLINK \l _Toc1707991630 </w:instrText>
      </w:r>
      <w:r>
        <w:fldChar w:fldCharType="separate"/>
      </w:r>
      <w:r>
        <w:t>模式二：横屏模式下</w:t>
      </w:r>
      <w:r>
        <w:tab/>
      </w:r>
      <w:r>
        <w:fldChar w:fldCharType="begin"/>
      </w:r>
      <w:r>
        <w:instrText xml:space="preserve"> PAGEREF _Toc1707991630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_Toc801415961 </w:instrText>
      </w:r>
      <w:r>
        <w:fldChar w:fldCharType="separate"/>
      </w:r>
      <w:r>
        <w:t>1. 贴片</w:t>
      </w:r>
      <w:r>
        <w:tab/>
      </w:r>
      <w:r>
        <w:fldChar w:fldCharType="begin"/>
      </w:r>
      <w:r>
        <w:instrText xml:space="preserve"> PAGEREF _Toc801415961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_Toc380622543 </w:instrText>
      </w:r>
      <w:r>
        <w:fldChar w:fldCharType="separate"/>
      </w:r>
      <w:r>
        <w:t>2. 调音</w:t>
      </w:r>
      <w:r>
        <w:tab/>
      </w:r>
      <w:r>
        <w:fldChar w:fldCharType="begin"/>
      </w:r>
      <w:r>
        <w:instrText xml:space="preserve"> PAGEREF _Toc380622543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_Toc1916779435 </w:instrText>
      </w:r>
      <w:r>
        <w:fldChar w:fldCharType="separate"/>
      </w:r>
      <w:r>
        <w:t>3. 录制</w:t>
      </w:r>
      <w:r>
        <w:tab/>
      </w:r>
      <w:r>
        <w:fldChar w:fldCharType="begin"/>
      </w:r>
      <w:r>
        <w:instrText xml:space="preserve"> PAGEREF _Toc1916779435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7"/>
        <w:tabs>
          <w:tab w:val="right" w:leader="dot" w:pos="11175"/>
        </w:tabs>
      </w:pPr>
      <w:r>
        <w:fldChar w:fldCharType="begin"/>
      </w:r>
      <w:r>
        <w:instrText xml:space="preserve"> HYPERLINK \l _Toc909775398 </w:instrText>
      </w:r>
      <w:r>
        <w:fldChar w:fldCharType="separate"/>
      </w:r>
      <w:r>
        <w:t>4. 设置</w:t>
      </w:r>
      <w:r>
        <w:tab/>
      </w:r>
      <w:r>
        <w:fldChar w:fldCharType="begin"/>
      </w:r>
      <w:r>
        <w:instrText xml:space="preserve"> PAGEREF _Toc909775398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1175"/>
        </w:tabs>
      </w:pPr>
      <w:r>
        <w:fldChar w:fldCharType="begin"/>
      </w:r>
      <w:r>
        <w:instrText xml:space="preserve"> HYPERLINK \l _Toc511547546 </w:instrText>
      </w:r>
      <w:r>
        <w:fldChar w:fldCharType="separate"/>
      </w:r>
      <w:r>
        <w:t>第四部分：其他注意事项</w:t>
      </w:r>
      <w:r>
        <w:tab/>
      </w:r>
      <w:r>
        <w:fldChar w:fldCharType="begin"/>
      </w:r>
      <w:r>
        <w:instrText xml:space="preserve"> PAGEREF _Toc511547546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_Toc1202566681 </w:instrText>
      </w:r>
      <w:r>
        <w:fldChar w:fldCharType="separate"/>
      </w:r>
      <w:r>
        <w:t>一、如何调整直播码率</w:t>
      </w:r>
      <w:r>
        <w:tab/>
      </w:r>
      <w:r>
        <w:fldChar w:fldCharType="begin"/>
      </w:r>
      <w:r>
        <w:instrText xml:space="preserve"> PAGEREF _Toc1202566681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_Toc1569605650 </w:instrText>
      </w:r>
      <w:r>
        <w:fldChar w:fldCharType="separate"/>
      </w:r>
      <w:r>
        <w:t>二、如何使用罗技摄像头调参</w:t>
      </w:r>
      <w:r>
        <w:tab/>
      </w:r>
      <w:r>
        <w:fldChar w:fldCharType="begin"/>
      </w:r>
      <w:r>
        <w:instrText xml:space="preserve"> PAGEREF _Toc1569605650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_Toc673039802 </w:instrText>
      </w:r>
      <w:r>
        <w:fldChar w:fldCharType="separate"/>
      </w:r>
      <w:r>
        <w:t>三、如何更新版本</w:t>
      </w:r>
      <w:r>
        <w:tab/>
      </w:r>
      <w:r>
        <w:fldChar w:fldCharType="begin"/>
      </w:r>
      <w:r>
        <w:instrText xml:space="preserve"> PAGEREF _Toc673039802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_Toc983583465 </w:instrText>
      </w:r>
      <w:r>
        <w:fldChar w:fldCharType="separate"/>
      </w:r>
      <w:r>
        <w:t>四、如何恢复出厂设置</w:t>
      </w:r>
      <w:r>
        <w:tab/>
      </w:r>
      <w:r>
        <w:fldChar w:fldCharType="begin"/>
      </w:r>
      <w:r>
        <w:instrText xml:space="preserve"> PAGEREF _Toc983583465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8"/>
        <w:tabs>
          <w:tab w:val="right" w:leader="dot" w:pos="11175"/>
        </w:tabs>
      </w:pPr>
      <w:r>
        <w:fldChar w:fldCharType="begin"/>
      </w:r>
      <w:r>
        <w:instrText xml:space="preserve"> HYPERLINK \l _Toc1905665296 </w:instrText>
      </w:r>
      <w:r>
        <w:fldChar w:fldCharType="separate"/>
      </w:r>
      <w:r>
        <w:t>五、如何上传日志</w:t>
      </w:r>
      <w:r>
        <w:tab/>
      </w:r>
      <w:r>
        <w:fldChar w:fldCharType="begin"/>
      </w:r>
      <w:r>
        <w:instrText xml:space="preserve"> PAGEREF _Toc1905665296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3"/>
        <w:spacing w:line="204" w:lineRule="auto"/>
        <w:sectPr>
          <w:pgSz w:w="13335" w:h="16830"/>
          <w:pgMar w:top="1440" w:right="1080" w:bottom="1440" w:left="1080" w:header="638" w:footer="691" w:gutter="0"/>
          <w:cols w:space="720" w:num="1"/>
        </w:sectPr>
      </w:pPr>
      <w:r>
        <w:fldChar w:fldCharType="end"/>
      </w:r>
    </w:p>
    <w:p>
      <w:pPr>
        <w:pStyle w:val="3"/>
        <w:spacing w:line="204" w:lineRule="auto"/>
      </w:pPr>
      <w:bookmarkStart w:id="0" w:name="_Toc1196434478"/>
      <w:r>
        <w:t>第一部分：设备介绍</w:t>
      </w:r>
      <w:bookmarkEnd w:id="0"/>
    </w:p>
    <w:p>
      <w:pPr>
        <w:pStyle w:val="4"/>
        <w:spacing w:line="204" w:lineRule="auto"/>
      </w:pPr>
      <w:bookmarkStart w:id="1" w:name="_Toc1584884885"/>
      <w:r>
        <w:t>一、接口</w:t>
      </w:r>
      <w:bookmarkEnd w:id="1"/>
    </w:p>
    <w:p>
      <w:r>
        <w:drawing>
          <wp:inline distT="0" distB="0" distL="0" distR="0">
            <wp:extent cx="3438525" cy="2447925"/>
            <wp:effectExtent l="0" t="0" r="0" b="0"/>
            <wp:docPr id="1" name="im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09950" cy="2352675"/>
            <wp:effectExtent l="0" t="0" r="0" b="0"/>
            <wp:docPr id="2" name="im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</w:pPr>
      <w:r>
        <w:t>云犀BOX 5.0支持两路HDMI 1080P输入、支持1路HDMI输出、支持1路USB输入；</w:t>
      </w:r>
    </w:p>
    <w:p>
      <w:pPr>
        <w:numPr>
          <w:ilvl w:val="0"/>
          <w:numId w:val="1"/>
        </w:numPr>
      </w:pPr>
      <w:r>
        <w:t>音频方面支持Line in、Mic in音频输入，支持Audio out音频输出；</w:t>
      </w:r>
    </w:p>
    <w:p>
      <w:pPr>
        <w:numPr>
          <w:ilvl w:val="0"/>
          <w:numId w:val="1"/>
        </w:numPr>
      </w:pPr>
      <w:r>
        <w:t>RJ45网口为千兆网口，支持使用SIM联网，其中SIM支持移动、联通、电信；</w:t>
      </w:r>
    </w:p>
    <w:p>
      <w:pPr>
        <w:numPr>
          <w:ilvl w:val="0"/>
          <w:numId w:val="1"/>
        </w:numPr>
      </w:pPr>
      <w:r>
        <w:t>支持SD卡即支持设备支持本地化功能；</w:t>
      </w:r>
    </w:p>
    <w:p>
      <w:pPr>
        <w:numPr>
          <w:ilvl w:val="0"/>
          <w:numId w:val="1"/>
        </w:numPr>
      </w:pPr>
      <w:r>
        <w:t>电源键位于设备左侧最下方，注意type c仅支持用于充电。</w:t>
      </w:r>
    </w:p>
    <w:p>
      <w:pPr>
        <w:pStyle w:val="4"/>
        <w:spacing w:line="204" w:lineRule="auto"/>
      </w:pPr>
      <w:bookmarkStart w:id="2" w:name="_Toc1920588454"/>
      <w:r>
        <w:t>二、开关机</w:t>
      </w:r>
      <w:bookmarkEnd w:id="2"/>
    </w:p>
    <w:p>
      <w:r>
        <w:t>* 电源键位于设备左侧最下方</w:t>
      </w:r>
    </w:p>
    <w:p>
      <w:pPr>
        <w:pStyle w:val="5"/>
        <w:numPr>
          <w:ilvl w:val="0"/>
          <w:numId w:val="2"/>
        </w:numPr>
        <w:spacing w:line="204" w:lineRule="auto"/>
      </w:pPr>
      <w:bookmarkStart w:id="3" w:name="_Toc503448321"/>
      <w:r>
        <w:t>如何开机</w:t>
      </w:r>
      <w:bookmarkEnd w:id="3"/>
    </w:p>
    <w:p>
      <w:r>
        <w:t>1.1 长按电源键即可开机</w:t>
      </w:r>
    </w:p>
    <w:p>
      <w:pPr>
        <w:pStyle w:val="5"/>
        <w:numPr>
          <w:ilvl w:val="0"/>
          <w:numId w:val="2"/>
        </w:numPr>
        <w:spacing w:line="204" w:lineRule="auto"/>
      </w:pPr>
      <w:bookmarkStart w:id="4" w:name="_Toc370361867"/>
      <w:r>
        <w:rPr>
          <w:b/>
          <w:sz w:val="24"/>
        </w:rPr>
        <w:t>如何关机</w:t>
      </w:r>
      <w:bookmarkEnd w:id="4"/>
    </w:p>
    <w:p>
      <w:r>
        <w:t>2.1 长按电源键，在弹出的弹窗选项中点击选择“关机”即可</w:t>
      </w:r>
    </w:p>
    <w:p>
      <w:pPr>
        <w:pStyle w:val="5"/>
        <w:numPr>
          <w:ilvl w:val="0"/>
          <w:numId w:val="2"/>
        </w:numPr>
        <w:spacing w:line="204" w:lineRule="auto"/>
      </w:pPr>
      <w:bookmarkStart w:id="5" w:name="_Toc1264289663"/>
      <w:r>
        <w:t>如何重启</w:t>
      </w:r>
      <w:bookmarkEnd w:id="5"/>
    </w:p>
    <w:p>
      <w:r>
        <w:t>3.1 长按电源键，在弹出的弹窗选项中点击选择“重新启动”即可</w:t>
      </w:r>
    </w:p>
    <w:p>
      <w:pPr>
        <w:pStyle w:val="4"/>
        <w:spacing w:line="204" w:lineRule="auto"/>
      </w:pPr>
      <w:bookmarkStart w:id="6" w:name="_Toc1713162623"/>
      <w:r>
        <w:t>三、省电模式</w:t>
      </w:r>
      <w:bookmarkEnd w:id="6"/>
    </w:p>
    <w:p>
      <w:r>
        <w:t>省电模式下将大大延长电池续航，直播中如不需要操作设备，建议您开启省电模式。</w:t>
      </w:r>
    </w:p>
    <w:p>
      <w:pPr>
        <w:pStyle w:val="5"/>
        <w:spacing w:line="204" w:lineRule="auto"/>
      </w:pPr>
      <w:bookmarkStart w:id="7" w:name="_Toc1810949432"/>
      <w:r>
        <w:t>1. 如何进入省电模式</w:t>
      </w:r>
      <w:bookmarkEnd w:id="7"/>
    </w:p>
    <w:p>
      <w:r>
        <w:rPr>
          <w:b/>
        </w:rPr>
        <w:t>入口：</w:t>
      </w:r>
      <w:r>
        <w:t>设置-省电模式中，开启开关即开启省电模式。可选择省电时间，即多久没操作将自动进入省电模式。</w:t>
      </w:r>
    </w:p>
    <w:p>
      <w:r>
        <w:drawing>
          <wp:inline distT="0" distB="0" distL="0" distR="0">
            <wp:extent cx="2200275" cy="3524250"/>
            <wp:effectExtent l="0" t="0" r="0" b="0"/>
            <wp:docPr id="3" name="/Users/wyj/Documents/5.0说明书素材/最新/页面_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/Users/wyj/Documents/5.0说明书素材/最新/页面_9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09800" cy="3533775"/>
            <wp:effectExtent l="0" t="0" r="0" b="0"/>
            <wp:docPr id="4" name="/Users/wyj/Documents/5.0说明书素材/最新/页面_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/Users/wyj/Documents/5.0说明书素材/最新/页面_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line="204" w:lineRule="auto"/>
      </w:pPr>
      <w:bookmarkStart w:id="8" w:name="_Toc341374693"/>
      <w:r>
        <w:t>2. 省电模式中</w:t>
      </w:r>
      <w:bookmarkEnd w:id="8"/>
    </w:p>
    <w:p>
      <w:r>
        <w:t>进入省电模式后，屏幕将黑掉，</w:t>
      </w:r>
      <w:r>
        <w:rPr>
          <w:b/>
        </w:rPr>
        <w:t>设备右上角的绿灯闪烁</w:t>
      </w:r>
      <w:r>
        <w:t>。</w:t>
      </w:r>
    </w:p>
    <w:p>
      <w:r>
        <w:t>* 注意区分直接按电源键导致的屏幕黑掉，直接按电源键进入的黑屏下直播会中断，表现是设备右上角的绿灯常亮</w:t>
      </w:r>
    </w:p>
    <w:p>
      <w:r>
        <w:drawing>
          <wp:inline distT="0" distB="0" distL="0" distR="0">
            <wp:extent cx="1905000" cy="3000375"/>
            <wp:effectExtent l="0" t="0" r="0" b="0"/>
            <wp:docPr id="5" name="im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line="204" w:lineRule="auto"/>
      </w:pPr>
      <w:bookmarkStart w:id="9" w:name="_Toc1555644114"/>
      <w:r>
        <w:t>3. 如何退出省电模式</w:t>
      </w:r>
      <w:bookmarkEnd w:id="9"/>
    </w:p>
    <w:p>
      <w:r>
        <w:t>按一下电源键，屏幕亮起，将退出省电模式，此时设备右上角的灯光不会闪烁显示。</w:t>
      </w:r>
    </w:p>
    <w:p>
      <w:pPr>
        <w:pStyle w:val="4"/>
        <w:spacing w:line="204" w:lineRule="auto"/>
      </w:pPr>
      <w:bookmarkStart w:id="10" w:name="_Toc97221773"/>
      <w:r>
        <w:t>四、注册&amp;登录</w:t>
      </w:r>
      <w:bookmarkEnd w:id="10"/>
    </w:p>
    <w:p>
      <w:r>
        <w:drawing>
          <wp:inline distT="0" distB="0" distL="0" distR="0">
            <wp:extent cx="2162175" cy="3457575"/>
            <wp:effectExtent l="0" t="0" r="0" b="0"/>
            <wp:docPr id="6" name="页面_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页面_2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71700" cy="3476625"/>
            <wp:effectExtent l="0" t="0" r="0" b="0"/>
            <wp:docPr id="7" name="页面_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页面_3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1.1 免密登录/注册。如您未注册过云犀账号，则为您创建一个账号，并发送密码短信到您手机号。</w:t>
      </w:r>
    </w:p>
    <w:p>
      <w:r>
        <w:t>1.2 登录方式还有账号密码登录，如忘记密码，通过注册手机号重设密码即可</w:t>
      </w:r>
    </w:p>
    <w:p/>
    <w:p>
      <w:pPr>
        <w:pStyle w:val="3"/>
        <w:spacing w:line="204" w:lineRule="auto"/>
      </w:pPr>
      <w:bookmarkStart w:id="11" w:name="_Toc1918767091"/>
      <w:r>
        <w:t>第二部分：联网</w:t>
      </w:r>
      <w:bookmarkEnd w:id="11"/>
    </w:p>
    <w:p>
      <w:pPr>
        <w:pStyle w:val="4"/>
        <w:spacing w:line="204" w:lineRule="auto"/>
      </w:pPr>
      <w:bookmarkStart w:id="12" w:name="_Toc2104055085"/>
      <w:r>
        <w:t>一、连接网络</w:t>
      </w:r>
      <w:bookmarkEnd w:id="12"/>
    </w:p>
    <w:p>
      <w:r>
        <w:drawing>
          <wp:inline distT="0" distB="0" distL="0" distR="0">
            <wp:extent cx="1838325" cy="2943225"/>
            <wp:effectExtent l="0" t="0" r="0" b="0"/>
            <wp:docPr id="8" name="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838325" cy="2943225"/>
            <wp:effectExtent l="0" t="0" r="0" b="0"/>
            <wp:docPr id="9" name="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847850" cy="2952750"/>
            <wp:effectExtent l="0" t="0" r="0" b="0"/>
            <wp:docPr id="10" name="页面_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页面_4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3.1 入口；点击顶部状态栏左上角的设置图标进入</w:t>
      </w:r>
      <w:r>
        <w:rPr>
          <w:b/>
        </w:rPr>
        <w:t>设置中心</w:t>
      </w:r>
      <w:r>
        <w:t>-</w:t>
      </w:r>
      <w:r>
        <w:rPr>
          <w:b/>
        </w:rPr>
        <w:t>网络。</w:t>
      </w:r>
      <w:r>
        <w:t>根据实际情况选择有线网或WiFi。</w:t>
      </w:r>
    </w:p>
    <w:p>
      <w:r>
        <w:t>3.3 如插入SIM卡或外接网卡，则不需要设置，自动联网。</w:t>
      </w:r>
    </w:p>
    <w:p>
      <w:pPr>
        <w:pStyle w:val="4"/>
        <w:spacing w:line="204" w:lineRule="auto"/>
      </w:pPr>
      <w:bookmarkStart w:id="13" w:name="_Toc240598446"/>
      <w:r>
        <w:t>二、网络聚合</w:t>
      </w:r>
      <w:bookmarkEnd w:id="13"/>
    </w:p>
    <w:p>
      <w:pPr>
        <w:pStyle w:val="5"/>
        <w:spacing w:line="204" w:lineRule="auto"/>
      </w:pPr>
      <w:bookmarkStart w:id="14" w:name="_Toc26374621"/>
      <w:r>
        <w:t>1. 如何开启网络聚合</w:t>
      </w:r>
      <w:bookmarkEnd w:id="14"/>
    </w:p>
    <w:p>
      <w:r>
        <w:t>点击顶部状态栏左上角的设置图标进入</w:t>
      </w:r>
      <w:r>
        <w:rPr>
          <w:b/>
        </w:rPr>
        <w:t>设置中心</w:t>
      </w:r>
      <w:r>
        <w:t>-</w:t>
      </w:r>
      <w:r>
        <w:rPr>
          <w:b/>
        </w:rPr>
        <w:t>网络-网络聚合。</w:t>
      </w:r>
      <w:r>
        <w:t>开启开关即开启网络聚合，目前最多支持Wi-Fi、有线网、SIM卡、外接网卡四网聚合。</w:t>
      </w:r>
    </w:p>
    <w:p>
      <w:r>
        <w:drawing>
          <wp:inline distT="0" distB="0" distL="0" distR="0">
            <wp:extent cx="2095500" cy="3352800"/>
            <wp:effectExtent l="0" t="0" r="0" b="0"/>
            <wp:docPr id="11" name="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95500" cy="3352800"/>
            <wp:effectExtent l="0" t="0" r="0" b="0"/>
            <wp:docPr id="12" name="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95500" cy="3352800"/>
            <wp:effectExtent l="0" t="0" r="0" b="0"/>
            <wp:docPr id="13" name="/Users/wyj/Documents/5.0说明书素材/最新/页面_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/Users/wyj/Documents/5.0说明书素材/最新/页面_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line="204" w:lineRule="auto"/>
      </w:pPr>
      <w:bookmarkStart w:id="15" w:name="_Toc896623865"/>
      <w:r>
        <w:t>2. 如何关闭网络聚合</w:t>
      </w:r>
      <w:bookmarkEnd w:id="15"/>
    </w:p>
    <w:p>
      <w:r>
        <w:t>同样点击顶部状态栏左上角的设置图标进入</w:t>
      </w:r>
      <w:r>
        <w:rPr>
          <w:b/>
        </w:rPr>
        <w:t>设置中心</w:t>
      </w:r>
      <w:r>
        <w:t>-</w:t>
      </w:r>
      <w:r>
        <w:rPr>
          <w:b/>
        </w:rPr>
        <w:t>网络-网络聚合。</w:t>
      </w:r>
      <w:r>
        <w:t>关闭开关即关闭网络聚合。</w:t>
      </w:r>
    </w:p>
    <w:p/>
    <w:p>
      <w:pPr>
        <w:pStyle w:val="3"/>
        <w:spacing w:line="204" w:lineRule="auto"/>
      </w:pPr>
      <w:bookmarkStart w:id="16" w:name="_Toc664548056"/>
      <w:r>
        <w:t>第三部分：直播&amp;导播</w:t>
      </w:r>
      <w:bookmarkEnd w:id="16"/>
    </w:p>
    <w:p>
      <w:pPr>
        <w:pStyle w:val="4"/>
        <w:spacing w:line="204" w:lineRule="auto"/>
      </w:pPr>
      <w:bookmarkStart w:id="17" w:name="_Toc2144212792"/>
      <w:r>
        <w:t>一、如何竖屏直播</w:t>
      </w:r>
      <w:bookmarkEnd w:id="17"/>
    </w:p>
    <w:p>
      <w:pPr>
        <w:pStyle w:val="5"/>
        <w:spacing w:line="204" w:lineRule="auto"/>
      </w:pPr>
      <w:bookmarkStart w:id="18" w:name="_Toc861314837"/>
      <w:r>
        <w:rPr>
          <w:b/>
          <w:sz w:val="24"/>
        </w:rPr>
        <w:t>类型一：第三方应用竖屏直播</w:t>
      </w:r>
      <w:bookmarkEnd w:id="18"/>
    </w:p>
    <w:p>
      <w:pPr>
        <w:pStyle w:val="6"/>
        <w:spacing w:line="204" w:lineRule="auto"/>
      </w:pPr>
      <w:bookmarkStart w:id="19" w:name="_Toc2078684679"/>
      <w:r>
        <w:rPr>
          <w:b/>
          <w:sz w:val="22"/>
        </w:rPr>
        <w:t>1. 进入云犀管家下载应用</w:t>
      </w:r>
      <w:bookmarkEnd w:id="19"/>
    </w:p>
    <w:p>
      <w:r>
        <w:t>1.1 开机后在桌面的应用中点击“云犀管家”，进入如图三的页面，下载您需要直播的应用即可，下载完成后桌面上将显示您下载的应用，点击打开即可使用。</w:t>
      </w:r>
    </w:p>
    <w:p>
      <w:r>
        <w:t>1.2 注意：为便于您的操作，进入云犀管家后您可以在屏幕任意位置上滑唤起桌面功能按钮，点击最右侧的</w:t>
      </w:r>
      <w:r>
        <w:rPr>
          <w:b/>
        </w:rPr>
        <w:t>全屏按钮</w:t>
      </w:r>
      <w:r>
        <w:t>进入全屏。</w:t>
      </w:r>
    </w:p>
    <w:p>
      <w:r>
        <w:drawing>
          <wp:inline distT="0" distB="0" distL="0" distR="0">
            <wp:extent cx="2124075" cy="3400425"/>
            <wp:effectExtent l="0" t="0" r="0" b="0"/>
            <wp:docPr id="14" name="页面_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页面_6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33600" cy="3409950"/>
            <wp:effectExtent l="0" t="0" r="0" b="0"/>
            <wp:docPr id="15" name="页面_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页面_7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14525" cy="3400425"/>
            <wp:effectExtent l="0" t="0" r="0" b="0"/>
            <wp:docPr id="16" name="云犀应用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云犀应用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line="204" w:lineRule="auto"/>
      </w:pPr>
      <w:bookmarkStart w:id="20" w:name="_Toc1189430557"/>
      <w:r>
        <w:rPr>
          <w:b/>
          <w:sz w:val="22"/>
        </w:rPr>
        <w:t>2. 进入应用开播</w:t>
      </w:r>
      <w:bookmarkEnd w:id="20"/>
    </w:p>
    <w:p>
      <w:r>
        <w:t>以下以抖音为例演示如何开播（同手机端操作）</w:t>
      </w:r>
    </w:p>
    <w:p>
      <w:r>
        <w:t>2.1 在云犀管家中下载好应用后，回到桌面点击应用打开，如抖音在首页点击➕号进入直播页面，在预览界面中您调整好后点击开始直播即可。</w:t>
      </w:r>
    </w:p>
    <w:p>
      <w:r>
        <w:drawing>
          <wp:inline distT="0" distB="0" distL="0" distR="0">
            <wp:extent cx="1762125" cy="2819400"/>
            <wp:effectExtent l="0" t="0" r="0" b="0"/>
            <wp:docPr id="17" name="/Users/wyj/Documents/5.0说明书素材/最新/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/Users/wyj/Documents/5.0说明书素材/最新/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762125" cy="2819400"/>
            <wp:effectExtent l="0" t="0" r="0" b="0"/>
            <wp:docPr id="18" name="页面_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页面_8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752600" cy="2800350"/>
            <wp:effectExtent l="0" t="0" r="0" b="0"/>
            <wp:docPr id="19" name="页面_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页面_10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line="204" w:lineRule="auto"/>
      </w:pPr>
      <w:bookmarkStart w:id="21" w:name="_Toc1981585223"/>
      <w:r>
        <w:t>类型二：云犀直播竖屏直播</w:t>
      </w:r>
      <w:bookmarkEnd w:id="21"/>
    </w:p>
    <w:p>
      <w:pPr>
        <w:pStyle w:val="6"/>
        <w:spacing w:line="204" w:lineRule="auto"/>
      </w:pPr>
      <w:bookmarkStart w:id="22" w:name="_Toc1326445285"/>
      <w:r>
        <w:rPr>
          <w:b/>
          <w:sz w:val="22"/>
        </w:rPr>
        <w:t>1. 进入云犀直播</w:t>
      </w:r>
      <w:bookmarkEnd w:id="22"/>
    </w:p>
    <w:p>
      <w:r>
        <w:t>1.1 云犀直播app：通过云犀官方应用进行私域直播，支持单路直推。</w:t>
      </w:r>
    </w:p>
    <w:p>
      <w:r>
        <w:t>1.2 在桌面点击“云犀”直播即可进入，为便于您的操作，进入云犀直播后您可以在屏幕任意位置上滑唤起桌面功能按钮，点击最右侧的</w:t>
      </w:r>
      <w:r>
        <w:rPr>
          <w:b/>
        </w:rPr>
        <w:t>全屏按钮</w:t>
      </w:r>
      <w:r>
        <w:t>进入全屏。</w:t>
      </w:r>
    </w:p>
    <w:p>
      <w:r>
        <w:drawing>
          <wp:inline distT="0" distB="0" distL="0" distR="0">
            <wp:extent cx="2019300" cy="3228975"/>
            <wp:effectExtent l="0" t="0" r="0" b="0"/>
            <wp:docPr id="20" name="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09775" cy="3219450"/>
            <wp:effectExtent l="0" t="0" r="0" b="0"/>
            <wp:docPr id="21" name="页面_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页面_11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09775" cy="3219450"/>
            <wp:effectExtent l="0" t="0" r="0" b="0"/>
            <wp:docPr id="22" name="页面_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页面_12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line="204" w:lineRule="auto"/>
      </w:pPr>
      <w:bookmarkStart w:id="23" w:name="_Toc538165488"/>
      <w:r>
        <w:rPr>
          <w:b/>
          <w:sz w:val="22"/>
        </w:rPr>
        <w:t>2. 选择竖屏直播</w:t>
      </w:r>
      <w:bookmarkEnd w:id="23"/>
    </w:p>
    <w:p>
      <w:r>
        <w:t>2.1 创建直播间：点击云犀直播应用中右下角的➕号，进入创建直播间，输入活动名称、选择活动时间，选择竖屏直播，点击创建直播即可。回到直播列表中选择创建的直播进入预览界面。</w:t>
      </w:r>
    </w:p>
    <w:p>
      <w:r>
        <w:drawing>
          <wp:inline distT="0" distB="0" distL="0" distR="0">
            <wp:extent cx="2057400" cy="3295650"/>
            <wp:effectExtent l="0" t="0" r="0" b="0"/>
            <wp:docPr id="23" name="页面_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页面_12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47875" cy="3276600"/>
            <wp:effectExtent l="0" t="0" r="0" b="0"/>
            <wp:docPr id="24" name="/Users/wyj/Documents/5.0说明书素材/最新/页面_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/Users/wyj/Documents/5.0说明书素材/最新/页面_13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47875" cy="3276600"/>
            <wp:effectExtent l="0" t="0" r="0" b="0"/>
            <wp:docPr id="25" name="/Users/wyj/Documents/5.0说明书素材/最新/页面_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/Users/wyj/Documents/5.0说明书素材/最新/页面_14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2.2 单路直推：在单路直推页面下点击右下角的➕号，微信扫描弹出的二维码，在微信h5页面填写rtmp推流地址和名称、选择竖屏直播，点击确定即可。</w:t>
      </w:r>
    </w:p>
    <w:p>
      <w:r>
        <w:drawing>
          <wp:inline distT="0" distB="0" distL="0" distR="0">
            <wp:extent cx="2266950" cy="3629025"/>
            <wp:effectExtent l="0" t="0" r="0" b="0"/>
            <wp:docPr id="26" name="页面_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页面_15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66950" cy="3629025"/>
            <wp:effectExtent l="0" t="0" r="0" b="0"/>
            <wp:docPr id="27" name="页面_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页面_16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676400" cy="3629025"/>
            <wp:effectExtent l="0" t="0" r="0" b="0"/>
            <wp:docPr id="28" name="h5页面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5页面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  <w:spacing w:line="204" w:lineRule="auto"/>
      </w:pPr>
      <w:bookmarkStart w:id="24" w:name="_Toc1893719299"/>
      <w:r>
        <w:t>二、如何横屏直播</w:t>
      </w:r>
      <w:bookmarkEnd w:id="24"/>
    </w:p>
    <w:p>
      <w:r>
        <w:rPr>
          <w:color w:val="E03E3E"/>
        </w:rPr>
        <w:t>* 注意：横屏模式目前仅支持云犀直播。</w:t>
      </w:r>
    </w:p>
    <w:p>
      <w:pPr>
        <w:pStyle w:val="5"/>
        <w:spacing w:line="204" w:lineRule="auto"/>
      </w:pPr>
      <w:bookmarkStart w:id="25" w:name="_Toc2032609753"/>
      <w:r>
        <w:t>1. 进入云犀直播</w:t>
      </w:r>
      <w:bookmarkEnd w:id="25"/>
    </w:p>
    <w:p>
      <w:r>
        <w:t>1.1 云犀直播app：通过云犀官方应用进行私域直播，支持单路直推。</w:t>
      </w:r>
    </w:p>
    <w:p>
      <w:r>
        <w:t>1.2 在桌面点击“云犀”直播即可进入，为便于您的操作，进入云犀直播后您可以在屏幕任意位置上滑唤起桌面功能按钮，点击最右侧的</w:t>
      </w:r>
      <w:r>
        <w:rPr>
          <w:b/>
        </w:rPr>
        <w:t>全屏按钮</w:t>
      </w:r>
      <w:r>
        <w:t>进入全屏。</w:t>
      </w:r>
    </w:p>
    <w:p>
      <w:r>
        <w:drawing>
          <wp:inline distT="0" distB="0" distL="0" distR="0">
            <wp:extent cx="2019300" cy="3228975"/>
            <wp:effectExtent l="0" t="0" r="0" b="0"/>
            <wp:docPr id="29" name="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09775" cy="3219450"/>
            <wp:effectExtent l="0" t="0" r="0" b="0"/>
            <wp:docPr id="30" name="页面_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页面_11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09775" cy="3219450"/>
            <wp:effectExtent l="0" t="0" r="0" b="0"/>
            <wp:docPr id="31" name="页面_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页面_12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line="204" w:lineRule="auto"/>
      </w:pPr>
      <w:bookmarkStart w:id="26" w:name="_Toc2049745842"/>
      <w:r>
        <w:t>2. 选择横屏直播</w:t>
      </w:r>
      <w:bookmarkEnd w:id="26"/>
    </w:p>
    <w:p>
      <w:r>
        <w:t>2.1 创建直播间：点击云犀直播应用中右下角的➕号，进入创建直播间，输入活动名称、选择活动时间，选择横屏直播，点击创建直播即可。回到直播列表中选择创建的直播进入预览界面。</w:t>
      </w:r>
    </w:p>
    <w:p>
      <w:r>
        <w:rPr>
          <w:b/>
        </w:rPr>
        <w:t>* 此时整个交互界面将旋转以横屏显示。</w:t>
      </w:r>
    </w:p>
    <w:p>
      <w:r>
        <w:drawing>
          <wp:inline distT="0" distB="0" distL="0" distR="0">
            <wp:extent cx="1866900" cy="2990850"/>
            <wp:effectExtent l="0" t="0" r="0" b="0"/>
            <wp:docPr id="32" name="页面_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页面_12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866900" cy="2990850"/>
            <wp:effectExtent l="0" t="0" r="0" b="0"/>
            <wp:docPr id="33" name="/Users/wyj/Documents/5.0说明书素材/最新/页面_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/Users/wyj/Documents/5.0说明书素材/最新/页面_13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076575" cy="1924050"/>
            <wp:effectExtent l="0" t="0" r="0" b="0"/>
            <wp:docPr id="34" name="/Users/wyj/Desktop/wanggb/横屏/202306081026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/Users/wyj/Desktop/wanggb/横屏/20230608102608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2.2 单路直推：在单路直推页面下点击右下角的➕号，微信扫描弹出的二维码，在微信h5页面填写rtmp推流地址和名称、选择横屏直播，点击确定即可。</w:t>
      </w:r>
    </w:p>
    <w:p>
      <w:r>
        <w:drawing>
          <wp:inline distT="0" distB="0" distL="0" distR="0">
            <wp:extent cx="2266950" cy="3629025"/>
            <wp:effectExtent l="0" t="0" r="0" b="0"/>
            <wp:docPr id="35" name="页面_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页面_15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66950" cy="3629025"/>
            <wp:effectExtent l="0" t="0" r="0" b="0"/>
            <wp:docPr id="36" name="页面_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页面_16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676400" cy="3629025"/>
            <wp:effectExtent l="0" t="0" r="0" b="0"/>
            <wp:docPr id="37" name="/Users/wyj/Documents/5.0说明书素材/未命名文件夹/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/Users/wyj/Documents/5.0说明书素材/未命名文件夹/22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  <w:spacing w:line="204" w:lineRule="auto"/>
      </w:pPr>
      <w:bookmarkStart w:id="27" w:name="_Toc145701320"/>
      <w:r>
        <w:t>三、导播功能介绍（视频源）</w:t>
      </w:r>
      <w:bookmarkEnd w:id="27"/>
    </w:p>
    <w:p>
      <w:r>
        <w:t>* 竖屏模式和横屏模式下的导播功能是一样的，仅是样式布局不同。您可以根据您的直播模式选择查看。</w:t>
      </w:r>
    </w:p>
    <w:p>
      <w:pPr>
        <w:pStyle w:val="5"/>
        <w:spacing w:line="204" w:lineRule="auto"/>
      </w:pPr>
      <w:bookmarkStart w:id="28" w:name="_Toc670727660"/>
      <w:r>
        <w:rPr>
          <w:b/>
          <w:sz w:val="24"/>
        </w:rPr>
        <w:t>模式一：竖屏模式下</w:t>
      </w:r>
      <w:bookmarkEnd w:id="28"/>
    </w:p>
    <w:p>
      <w:pPr>
        <w:pStyle w:val="6"/>
        <w:spacing w:line="204" w:lineRule="auto"/>
      </w:pPr>
      <w:bookmarkStart w:id="29" w:name="_Toc778118517"/>
      <w:r>
        <w:rPr>
          <w:b/>
          <w:sz w:val="22"/>
        </w:rPr>
        <w:t>1. 外接物理视频源</w:t>
      </w:r>
      <w:bookmarkEnd w:id="29"/>
    </w:p>
    <w:p>
      <w:r>
        <w:t>1.1 设备支持两路HDMI和一路USB的视频源接入。当您正确接入后，会自动显示在视频源中。</w:t>
      </w:r>
    </w:p>
    <w:p>
      <w:r>
        <w:drawing>
          <wp:inline distT="0" distB="0" distL="0" distR="0">
            <wp:extent cx="1933575" cy="3095625"/>
            <wp:effectExtent l="0" t="0" r="0" b="0"/>
            <wp:docPr id="38" name="页面_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页面_17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33575" cy="3095625"/>
            <wp:effectExtent l="0" t="0" r="0" b="0"/>
            <wp:docPr id="39" name="页面_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页面_18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1.2 在视频源右上角点击设置图标可以进行垂直翻转、水平翻转、90度旋转、绿幕抠像和裁切操作。</w:t>
      </w:r>
    </w:p>
    <w:p>
      <w:r>
        <w:drawing>
          <wp:inline distT="0" distB="0" distL="0" distR="0">
            <wp:extent cx="1724025" cy="2762250"/>
            <wp:effectExtent l="0" t="0" r="0" b="0"/>
            <wp:docPr id="40" name="im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>1.3 抠像：开启抠像开关，选择抠像颜色，根据实际情况调整相似度、平滑度，对抠完像的视频源可以在背景图片处添加抠像背景图片。</w:t>
      </w:r>
    </w:p>
    <w:p>
      <w:r>
        <w:drawing>
          <wp:inline distT="0" distB="0" distL="0" distR="0">
            <wp:extent cx="1924050" cy="3076575"/>
            <wp:effectExtent l="0" t="0" r="0" b="0"/>
            <wp:docPr id="41" name="202306071748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3060717480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24050" cy="3076575"/>
            <wp:effectExtent l="0" t="0" r="0" b="0"/>
            <wp:docPr id="42" name="202306071748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30607174810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24050" cy="3076575"/>
            <wp:effectExtent l="0" t="0" r="0" b="0"/>
            <wp:docPr id="43" name="202306071748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230607174822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>1.4 裁切：进入裁切，可以选择等比例的9:16或16:9进行裁切，也可以选择自定义裁切，对于裁切的画面您可以选择是否适应撑满屏幕。裁切完后将在原视频源的基础上新增一路裁切视频源。</w:t>
      </w:r>
    </w:p>
    <w:p>
      <w:r>
        <w:drawing>
          <wp:inline distT="0" distB="0" distL="0" distR="0">
            <wp:extent cx="1695450" cy="2714625"/>
            <wp:effectExtent l="0" t="0" r="0" b="0"/>
            <wp:docPr id="44" name="202306071748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230607174840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695450" cy="2714625"/>
            <wp:effectExtent l="0" t="0" r="0" b="0"/>
            <wp:docPr id="45" name="202306071748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30607174848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 xml:space="preserve">1.5 </w:t>
      </w:r>
      <w:r>
        <w:t>垂直翻转、水平翻转、90度旋转</w:t>
      </w:r>
      <w:r>
        <w:rPr>
          <w:color w:val="222328"/>
          <w:highlight w:val="white"/>
        </w:rPr>
        <w:t>：点击即可生效。</w:t>
      </w:r>
    </w:p>
    <w:p>
      <w:pPr>
        <w:pStyle w:val="6"/>
        <w:spacing w:line="204" w:lineRule="auto"/>
      </w:pPr>
      <w:bookmarkStart w:id="30" w:name="_Toc1809988636"/>
      <w:r>
        <w:rPr>
          <w:b/>
          <w:sz w:val="22"/>
        </w:rPr>
        <w:t>2. 本地视频</w:t>
      </w:r>
      <w:bookmarkEnd w:id="30"/>
    </w:p>
    <w:p>
      <w:r>
        <w:drawing>
          <wp:inline distT="0" distB="0" distL="0" distR="0">
            <wp:extent cx="1819275" cy="2914650"/>
            <wp:effectExtent l="0" t="0" r="0" b="0"/>
            <wp:docPr id="46" name="页面_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页面_18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819275" cy="2914650"/>
            <wp:effectExtent l="0" t="0" r="0" b="0"/>
            <wp:docPr id="47" name="202306021537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230602153754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819275" cy="2914650"/>
            <wp:effectExtent l="0" t="0" r="0" b="0"/>
            <wp:docPr id="48" name="/Users/wyj/Documents/5.0说明书素材/未命名文件夹 2/页面_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/Users/wyj/Documents/5.0说明书素材/未命名文件夹 2/页面_19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>2.1 本地视频：点击本地视频进入本地视频素材库</w:t>
      </w:r>
      <w:r>
        <w:t>（本地素材，包括SD卡和外接U盘），单选视频后点击完成，视频源区域则会展示创建的本地视频。</w:t>
      </w:r>
    </w:p>
    <w:p>
      <w:r>
        <w:t>2.2 本地视频同样支持绿幕抠像、裁切、水平翻转、垂直翻转、旋转90度，操作同上述外接视频源。</w:t>
      </w:r>
    </w:p>
    <w:p>
      <w:r>
        <w:t>2.3 删除：长按本地视频源将浮现删除按钮，点击删除即可。</w:t>
      </w:r>
    </w:p>
    <w:p>
      <w:pPr>
        <w:pStyle w:val="6"/>
        <w:spacing w:line="204" w:lineRule="auto"/>
      </w:pPr>
      <w:bookmarkStart w:id="31" w:name="_Toc1373145497"/>
      <w:r>
        <w:t>3. 视频源组合模版</w:t>
      </w:r>
      <w:bookmarkEnd w:id="31"/>
    </w:p>
    <w:p>
      <w:r>
        <w:drawing>
          <wp:inline distT="0" distB="0" distL="0" distR="0">
            <wp:extent cx="1819275" cy="2914650"/>
            <wp:effectExtent l="0" t="0" r="0" b="0"/>
            <wp:docPr id="49" name="页面_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页面_18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828800" cy="2924175"/>
            <wp:effectExtent l="0" t="0" r="0" b="0"/>
            <wp:docPr id="50" name="页面_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页面_21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828800" cy="2924175"/>
            <wp:effectExtent l="0" t="0" r="0" b="0"/>
            <wp:docPr id="51" name="页面_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页面_22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3.1 视频源组合：包括画中画、同屏1、同屏2、三屏1、三屏2、三屏3，共支持6个模版。</w:t>
      </w:r>
    </w:p>
    <w:p>
      <w:r>
        <w:t>3.2 选择视频源：被选择的视频源有A/B/C标显示，选中后再次点击则取消选中。</w:t>
      </w:r>
    </w:p>
    <w:p>
      <w:r>
        <w:t>3.3 编辑模版：不同模版可编辑项不同，普遍支持缩放、边框宽度、边框颜色，部分模版支持调整分割线位置、添加背景。</w:t>
      </w:r>
    </w:p>
    <w:p>
      <w:r>
        <w:t>3.4 点击完成后将新增一个视频源。长按视频源将浮现编辑和删除按钮，点击编辑可二次进入编辑页面，点击删除即可删除掉此路视频源。</w:t>
      </w:r>
    </w:p>
    <w:p>
      <w:pPr>
        <w:pStyle w:val="5"/>
        <w:spacing w:line="204" w:lineRule="auto"/>
      </w:pPr>
      <w:bookmarkStart w:id="32" w:name="_Toc1597097417"/>
      <w:r>
        <w:t>模式二：横屏模式下</w:t>
      </w:r>
      <w:bookmarkEnd w:id="32"/>
    </w:p>
    <w:p>
      <w:pPr>
        <w:pStyle w:val="6"/>
        <w:spacing w:line="204" w:lineRule="auto"/>
      </w:pPr>
      <w:bookmarkStart w:id="33" w:name="_Toc1018183666"/>
      <w:r>
        <w:t>1. 外接物理视频源</w:t>
      </w:r>
      <w:bookmarkEnd w:id="33"/>
    </w:p>
    <w:p>
      <w:r>
        <w:t>1.1 设备支持两路HDMI和一路USB的视频源接入。当您正确接入后，会自动显示在视频源中。</w:t>
      </w:r>
    </w:p>
    <w:p>
      <w:r>
        <w:drawing>
          <wp:inline distT="0" distB="0" distL="0" distR="0">
            <wp:extent cx="3495675" cy="2181225"/>
            <wp:effectExtent l="0" t="0" r="0" b="0"/>
            <wp:docPr id="52" name="/Users/wyj/Desktop/wanggb/横屏/202306081026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/Users/wyj/Desktop/wanggb/横屏/20230608102615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86150" cy="2181225"/>
            <wp:effectExtent l="0" t="0" r="0" b="0"/>
            <wp:docPr id="53" name="/Users/wyj/Desktop/wanggb/横屏/202306081026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/Users/wyj/Desktop/wanggb/横屏/2023060810265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1.2 在视频源右上角点击设置图标可以进行垂直翻转、水平翻转、90度旋转、绿幕抠像和裁切操作。</w:t>
      </w:r>
    </w:p>
    <w:p>
      <w:r>
        <w:drawing>
          <wp:inline distT="0" distB="0" distL="0" distR="0">
            <wp:extent cx="3771900" cy="2362200"/>
            <wp:effectExtent l="0" t="0" r="0" b="0"/>
            <wp:docPr id="54" name="/Users/wyj/Desktop/wanggb/横屏/202306081026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/Users/wyj/Desktop/wanggb/横屏/20230608102642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>1.3 抠像：开启抠像开关，选择抠像颜色，根据实际情况调整相似度、平滑度，对抠完像的视频源可以在背景图片处添加抠像背景图片。</w:t>
      </w:r>
    </w:p>
    <w:p>
      <w:r>
        <w:drawing>
          <wp:inline distT="0" distB="0" distL="0" distR="0">
            <wp:extent cx="3514725" cy="2200275"/>
            <wp:effectExtent l="0" t="0" r="0" b="0"/>
            <wp:docPr id="55" name="/Users/wyj/Desktop/wanggb/横屏/202306081029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/Users/wyj/Desktop/wanggb/横屏/20230608102935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24250" cy="2200275"/>
            <wp:effectExtent l="0" t="0" r="0" b="0"/>
            <wp:docPr id="56" name="/Users/wyj/Desktop/wanggb/横屏/202306081029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/Users/wyj/Desktop/wanggb/横屏/20230608102945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>1.4 裁切：进入裁切，可以选择等比例的9:16或16:9进行裁切，也可以选择自定义裁切，对于裁切的画面您可以选择是否适应撑满屏幕。裁切完后将在原视频源的基础上新增一路裁切视频源。</w:t>
      </w:r>
    </w:p>
    <w:p>
      <w:r>
        <w:drawing>
          <wp:inline distT="0" distB="0" distL="0" distR="0">
            <wp:extent cx="3524250" cy="2200275"/>
            <wp:effectExtent l="0" t="0" r="0" b="0"/>
            <wp:docPr id="57" name="/Users/wyj/Desktop/wanggb/横屏/202306081030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/Users/wyj/Desktop/wanggb/横屏/20230608103024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52825" cy="2219325"/>
            <wp:effectExtent l="0" t="0" r="0" b="0"/>
            <wp:docPr id="58" name="/Users/wyj/Desktop/wanggb/横屏/202306081030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/Users/wyj/Desktop/wanggb/横屏/20230608103030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 xml:space="preserve">1.5 </w:t>
      </w:r>
      <w:r>
        <w:t>垂直翻转、水平翻转、90度旋转</w:t>
      </w:r>
      <w:r>
        <w:rPr>
          <w:color w:val="222328"/>
          <w:highlight w:val="white"/>
        </w:rPr>
        <w:t>：点击即可生效。</w:t>
      </w:r>
    </w:p>
    <w:p>
      <w:pPr>
        <w:pStyle w:val="6"/>
        <w:spacing w:line="204" w:lineRule="auto"/>
      </w:pPr>
      <w:bookmarkStart w:id="34" w:name="_Toc1463175166"/>
      <w:r>
        <w:rPr>
          <w:b/>
          <w:sz w:val="22"/>
        </w:rPr>
        <w:t>2. 本地视频</w:t>
      </w:r>
      <w:bookmarkEnd w:id="34"/>
    </w:p>
    <w:p>
      <w:r>
        <w:drawing>
          <wp:inline distT="0" distB="0" distL="0" distR="0">
            <wp:extent cx="3486150" cy="2181225"/>
            <wp:effectExtent l="0" t="0" r="0" b="0"/>
            <wp:docPr id="59" name="/Users/wyj/Desktop/wanggb/横屏/202306081026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/Users/wyj/Desktop/wanggb/横屏/2023060810265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24250" cy="2200275"/>
            <wp:effectExtent l="0" t="0" r="0" b="0"/>
            <wp:docPr id="60" name="/Users/wyj/Desktop/wanggb/横屏/202306081030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/Users/wyj/Desktop/wanggb/横屏/20230608103042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color w:val="222328"/>
          <w:highlight w:val="white"/>
        </w:rPr>
        <w:t>2.1 本地视频：点击本地视频进入本地视频素材库</w:t>
      </w:r>
      <w:r>
        <w:t>（本地素材，包括SD卡和外接U盘），单选视频后点击完成，视频源区域则会展示创建的本地视频。</w:t>
      </w:r>
    </w:p>
    <w:p>
      <w:r>
        <w:t>2.2 本地视频同样支持绿幕抠像、裁切、水平翻转、垂直翻转、旋转90度，操作同上述外接视频源。</w:t>
      </w:r>
    </w:p>
    <w:p>
      <w:r>
        <w:t>2.3 删除：长按本地视频源将浮现删除按钮，点击删除即可。</w:t>
      </w:r>
    </w:p>
    <w:p>
      <w:pPr>
        <w:pStyle w:val="6"/>
        <w:spacing w:line="204" w:lineRule="auto"/>
      </w:pPr>
      <w:bookmarkStart w:id="35" w:name="_Toc749773165"/>
      <w:r>
        <w:t>3. 视频源组合模版</w:t>
      </w:r>
      <w:bookmarkEnd w:id="35"/>
    </w:p>
    <w:p>
      <w:r>
        <w:drawing>
          <wp:inline distT="0" distB="0" distL="0" distR="0">
            <wp:extent cx="3486150" cy="2181225"/>
            <wp:effectExtent l="0" t="0" r="0" b="0"/>
            <wp:docPr id="61" name="/Users/wyj/Desktop/wanggb/横屏/202306081026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/Users/wyj/Desktop/wanggb/横屏/2023060810265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86150" cy="2181225"/>
            <wp:effectExtent l="0" t="0" r="0" b="0"/>
            <wp:docPr id="62" name="/Users/wyj/Desktop/wanggb/横屏/202306081027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/Users/wyj/Desktop/wanggb/横屏/20230608102704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3543300" cy="2219325"/>
            <wp:effectExtent l="0" t="0" r="0" b="0"/>
            <wp:docPr id="63" name="/Users/wyj/Desktop/wanggb/横屏/202306081027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/Users/wyj/Desktop/wanggb/横屏/20230608102716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3.1 视频源组合：包括画中画、同屏1、同屏2、三屏1、三屏2、三屏3，共支持6个模版。</w:t>
      </w:r>
    </w:p>
    <w:p>
      <w:r>
        <w:t>3.2 选择视频源：被选择的视频源有A/B/C标显示，选中后再次点击则取消选中。</w:t>
      </w:r>
    </w:p>
    <w:p>
      <w:r>
        <w:t>3.3 编辑模版：不同模版可编辑项不同，普遍支持缩放、边框宽度、边框颜色，部分模版支持调整分割线位置、添加背景。</w:t>
      </w:r>
    </w:p>
    <w:p>
      <w:r>
        <w:t>3.4 点击完成后将新增一个视频源。长按视频源将浮现编辑和删除按钮，点击编辑可二次进入编辑页面，点击删除即可删除掉此路视频源。</w:t>
      </w:r>
    </w:p>
    <w:p/>
    <w:p>
      <w:pPr>
        <w:pStyle w:val="4"/>
        <w:spacing w:line="204" w:lineRule="auto"/>
      </w:pPr>
      <w:bookmarkStart w:id="36" w:name="_Toc3543559"/>
      <w:r>
        <w:t>四、贴片、调音、录制、设置功能介绍</w:t>
      </w:r>
      <w:bookmarkEnd w:id="36"/>
    </w:p>
    <w:p>
      <w:pPr>
        <w:pStyle w:val="5"/>
        <w:spacing w:line="204" w:lineRule="auto"/>
      </w:pPr>
      <w:bookmarkStart w:id="37" w:name="_Toc1574537644"/>
      <w:r>
        <w:rPr>
          <w:b/>
          <w:sz w:val="24"/>
        </w:rPr>
        <w:t>模式一：竖屏模式下</w:t>
      </w:r>
      <w:bookmarkEnd w:id="37"/>
    </w:p>
    <w:p>
      <w:pPr>
        <w:pStyle w:val="6"/>
        <w:spacing w:line="204" w:lineRule="auto"/>
      </w:pPr>
      <w:bookmarkStart w:id="38" w:name="_Toc1960684374"/>
      <w:r>
        <w:rPr>
          <w:b/>
          <w:sz w:val="22"/>
        </w:rPr>
        <w:t>1. 贴片</w:t>
      </w:r>
      <w:bookmarkEnd w:id="38"/>
    </w:p>
    <w:p>
      <w:r>
        <w:t>1.1 在视频源上层添加的素材我们称之为贴片。在贴片标签页中，您可以添加，编辑，删除，使用贴片。其中贴片类型包括图片贴片和文字贴片，点击贴片功能区右下角的➕号选择贴片类型。</w:t>
      </w:r>
    </w:p>
    <w:p>
      <w:r>
        <w:drawing>
          <wp:inline distT="0" distB="0" distL="0" distR="0">
            <wp:extent cx="2143125" cy="3429000"/>
            <wp:effectExtent l="0" t="0" r="0" b="0"/>
            <wp:docPr id="64" name="/Users/wyj/Documents/5.0说明书素材/未命名文件夹 2/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/Users/wyj/Documents/5.0说明书素材/未命名文件夹 2/6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33600" cy="3409950"/>
            <wp:effectExtent l="0" t="0" r="0" b="0"/>
            <wp:docPr id="65" name="页面_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页面_2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1.2 添加图片贴片：选择图片贴片后将进入图片素材库（本地素材，包括SD卡和外接U盘），单选素材后进入贴片编辑页面，支持缩放和拖动。点击确定后贴片列表即会展示添加的贴片。</w:t>
      </w:r>
    </w:p>
    <w:p>
      <w:r>
        <w:drawing>
          <wp:inline distT="0" distB="0" distL="0" distR="0">
            <wp:extent cx="2133600" cy="3409950"/>
            <wp:effectExtent l="0" t="0" r="0" b="0"/>
            <wp:docPr id="66" name="页面_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页面_3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33600" cy="3409950"/>
            <wp:effectExtent l="0" t="0" r="0" b="0"/>
            <wp:docPr id="67" name="页面_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页面_4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1.3 添加文字贴片：选择文字贴片后将进入模版选择，选择所需模版后进入模版编辑页面，支持自定义内容、修改颜色、大小。点击完成后贴片列表即会展示添加的贴片。</w:t>
      </w:r>
    </w:p>
    <w:p>
      <w:r>
        <w:drawing>
          <wp:inline distT="0" distB="0" distL="0" distR="0">
            <wp:extent cx="2181225" cy="3486150"/>
            <wp:effectExtent l="0" t="0" r="0" b="0"/>
            <wp:docPr id="68" name="202306021546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230602154630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81225" cy="3486150"/>
            <wp:effectExtent l="0" t="0" r="0" b="0"/>
            <wp:docPr id="69" name="202306021546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230602154641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1.4 使用贴片：单击选中贴片，贴片展示，再次单击取消贴片。</w:t>
      </w:r>
    </w:p>
    <w:p>
      <w:r>
        <w:t>1.5 删除贴片：长按贴片浮现编辑和删除按钮，点击删除按钮即可删除此贴片。</w:t>
      </w:r>
    </w:p>
    <w:p>
      <w:pPr>
        <w:pStyle w:val="6"/>
        <w:spacing w:line="204" w:lineRule="auto"/>
      </w:pPr>
      <w:bookmarkStart w:id="39" w:name="_Toc85710603"/>
      <w:r>
        <w:rPr>
          <w:b/>
          <w:sz w:val="22"/>
        </w:rPr>
        <w:t>2. 调音</w:t>
      </w:r>
      <w:bookmarkEnd w:id="39"/>
    </w:p>
    <w:p>
      <w:r>
        <w:drawing>
          <wp:inline distT="0" distB="0" distL="0" distR="0">
            <wp:extent cx="2114550" cy="3381375"/>
            <wp:effectExtent l="0" t="0" r="0" b="0"/>
            <wp:docPr id="70" name="页面_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页面_20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2.1 设备支持Line in/mic in/USB收声/HDMI收声/本地视频声音。当您正确接入/添加后，会在列表中高亮显示。否则置灰不可操作。</w:t>
      </w:r>
    </w:p>
    <w:p>
      <w:r>
        <w:t>2.2 对于可选的音频源，您可以开启并拖动音量条调整音量大小。</w:t>
      </w:r>
    </w:p>
    <w:p>
      <w:r>
        <w:t>2.3 监听：指的是当你在耳机输出接口接入耳机等设备时，您听到的音量。</w:t>
      </w:r>
    </w:p>
    <w:p>
      <w:r>
        <w:t>2.4 跟随：开启跟随后，接入的音频将自动开启。</w:t>
      </w:r>
    </w:p>
    <w:p>
      <w:r>
        <w:t>2.5 当前混音只支持2路HDMI、1路line in或mic in，2路本地视频。USB路音频源不支持混音。</w:t>
      </w:r>
    </w:p>
    <w:p>
      <w:r>
        <w:rPr>
          <w:color w:val="222328"/>
          <w:highlight w:val="white"/>
        </w:rPr>
        <w:t>2.6 在设备状态栏上方拾音条，根据输入音频的音量做出颜色变化提示。</w:t>
      </w:r>
    </w:p>
    <w:p>
      <w:pPr>
        <w:pStyle w:val="6"/>
        <w:spacing w:line="204" w:lineRule="auto"/>
      </w:pPr>
      <w:bookmarkStart w:id="40" w:name="_Toc1724061131"/>
      <w:r>
        <w:rPr>
          <w:b/>
          <w:sz w:val="22"/>
        </w:rPr>
        <w:t>3. 录制</w:t>
      </w:r>
      <w:bookmarkEnd w:id="40"/>
    </w:p>
    <w:p>
      <w:r>
        <w:t>3.1 录制：支持本地录制，开启录制开关后，在屏幕右上角将显示录制时长。再次点击关闭开关即可结束录制。</w:t>
      </w:r>
    </w:p>
    <w:p>
      <w:r>
        <w:t>注意：录制的是纯净流，不带第三方应用处理的效果。</w:t>
      </w:r>
    </w:p>
    <w:p>
      <w:r>
        <w:drawing>
          <wp:inline distT="0" distB="0" distL="0" distR="0">
            <wp:extent cx="2286000" cy="3657600"/>
            <wp:effectExtent l="0" t="0" r="0" b="0"/>
            <wp:docPr id="71" name="页面_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页面_21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86000" cy="3657600"/>
            <wp:effectExtent l="0" t="0" r="0" b="0"/>
            <wp:docPr id="72" name="页面_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页面_22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3.2 录制限制：选择录制视频的时长，录制的视频将会根据所选时长进行分段录制和保存。目的是为了避免意外情况导致录制中断而视频丢失。</w:t>
      </w:r>
    </w:p>
    <w:p>
      <w:r>
        <w:drawing>
          <wp:inline distT="0" distB="0" distL="0" distR="0">
            <wp:extent cx="2276475" cy="3638550"/>
            <wp:effectExtent l="0" t="0" r="0" b="0"/>
            <wp:docPr id="73" name="页面_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页面_23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3.3 存储位置：选择录制视频的存储位置。当识别到插入的SD卡或U盘后将高亮显示可勾选，否则置灰不可选择。</w:t>
      </w:r>
    </w:p>
    <w:p>
      <w:r>
        <w:drawing>
          <wp:inline distT="0" distB="0" distL="0" distR="0">
            <wp:extent cx="2286000" cy="3657600"/>
            <wp:effectExtent l="0" t="0" r="0" b="0"/>
            <wp:docPr id="74" name="页面_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页面_24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line="204" w:lineRule="auto"/>
      </w:pPr>
      <w:bookmarkStart w:id="41" w:name="_Toc298579746"/>
      <w:r>
        <w:rPr>
          <w:b/>
          <w:sz w:val="22"/>
        </w:rPr>
        <w:t>4. 设置</w:t>
      </w:r>
      <w:bookmarkEnd w:id="41"/>
    </w:p>
    <w:p>
      <w:r>
        <w:drawing>
          <wp:inline distT="0" distB="0" distL="0" distR="0">
            <wp:extent cx="2266950" cy="3629025"/>
            <wp:effectExtent l="0" t="0" r="0" b="0"/>
            <wp:docPr id="75" name="页面_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页面_25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4.1 视频源切换模式。根据您的使用习惯，选择切换视频源时是单击切换还是双击切换。</w:t>
      </w:r>
    </w:p>
    <w:p>
      <w:r>
        <w:t>4.2 本地视频切换状态设置。针对视频源中的本地视频，切换到其他视频源时，您可以选择切换时继续播放/切换时恢复首帧并暂停/切换时暂停。</w:t>
      </w:r>
    </w:p>
    <w:p>
      <w:r>
        <w:t>4.3 视频输出模式。纯净输出开启后将纯净画面输出，关闭状态下为镜像输出。USB输出开启后将支持通过USB口输出，关闭状态下默认USB为输入。水平翻转为当遇到适配性问题时开启开关即可。</w:t>
      </w:r>
    </w:p>
    <w:p>
      <w:r>
        <w:t>4.4 转场动画。切换视频源时，提供多种转场动画，可以设置转场时长。</w:t>
      </w:r>
    </w:p>
    <w:p>
      <w:r>
        <w:t>4.5 云犀直播编码设置。仅针对云犀直播、本地录制有效。根据网络条件、场景复杂性等选择最佳的码率控制。</w:t>
      </w:r>
    </w:p>
    <w:p>
      <w:r>
        <w:t>4.6 智能降噪。点击切换开启/关闭，降低噪音。</w:t>
      </w:r>
    </w:p>
    <w:p>
      <w:r>
        <w:t>4.7 SD卡文件管理、便携式存储卡文件管理。支持删除文件。</w:t>
      </w:r>
    </w:p>
    <w:p/>
    <w:p>
      <w:pPr>
        <w:pStyle w:val="5"/>
        <w:spacing w:line="204" w:lineRule="auto"/>
      </w:pPr>
      <w:bookmarkStart w:id="42" w:name="_Toc1707991630"/>
      <w:r>
        <w:t>模式二：横屏模式下</w:t>
      </w:r>
      <w:bookmarkEnd w:id="42"/>
    </w:p>
    <w:p>
      <w:pPr>
        <w:pStyle w:val="6"/>
        <w:spacing w:line="204" w:lineRule="auto"/>
      </w:pPr>
      <w:bookmarkStart w:id="43" w:name="_Toc801415961"/>
      <w:r>
        <w:rPr>
          <w:b/>
          <w:sz w:val="22"/>
        </w:rPr>
        <w:t>1. 贴片</w:t>
      </w:r>
      <w:bookmarkEnd w:id="43"/>
    </w:p>
    <w:p>
      <w:r>
        <w:t>1.1 在视频源上层添加的素材我们称之为贴片。在贴片标签页中，您可以添加，编辑，删除，使用贴片。其中贴片类型包括图片贴片和文字贴片，点击贴片功能区右下角的➕号选择贴片类型。</w:t>
      </w:r>
    </w:p>
    <w:p>
      <w:r>
        <w:drawing>
          <wp:inline distT="0" distB="0" distL="0" distR="0">
            <wp:extent cx="3562350" cy="2228850"/>
            <wp:effectExtent l="0" t="0" r="0" b="0"/>
            <wp:docPr id="76" name="/Users/wyj/Desktop/wanggb/横屏/202306081026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/Users/wyj/Desktop/wanggb/横屏/20230608102608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33775" cy="2209800"/>
            <wp:effectExtent l="0" t="0" r="0" b="0"/>
            <wp:docPr id="77" name="/Users/wyj/Desktop/wanggb/横屏/202306081027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/Users/wyj/Desktop/wanggb/横屏/20230608102726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1.2 添加图片贴片：选择图片贴片后将进入图片素材库（本地素材，包括SD卡和外接U盘），单选素材后进入贴片编辑页面，支持缩放和拖动。点击确定后贴片列表即会展示添加的贴片。</w:t>
      </w:r>
    </w:p>
    <w:p>
      <w:r>
        <w:drawing>
          <wp:inline distT="0" distB="0" distL="0" distR="0">
            <wp:extent cx="3419475" cy="2133600"/>
            <wp:effectExtent l="0" t="0" r="0" b="0"/>
            <wp:docPr id="78" name="/Users/wyj/Desktop/wanggb/横屏/202306081027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/Users/wyj/Desktop/wanggb/横屏/20230608102733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38525" cy="2152650"/>
            <wp:effectExtent l="0" t="0" r="0" b="0"/>
            <wp:docPr id="79" name="/Users/wyj/Desktop/wanggb/横屏/202306081028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/Users/wyj/Desktop/wanggb/横屏/20230608102804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1.3 添加文字贴片：选择文字贴片后将进入模版选择，选择所需模版后进入模版编辑页面，支持自定义内容、修改颜色、大小。点击完成后贴片列表即会展示添加的贴片。</w:t>
      </w:r>
    </w:p>
    <w:p>
      <w:r>
        <w:drawing>
          <wp:inline distT="0" distB="0" distL="0" distR="0">
            <wp:extent cx="3552825" cy="2219325"/>
            <wp:effectExtent l="0" t="0" r="0" b="0"/>
            <wp:docPr id="80" name="/Users/wyj/Desktop/wanggb/横屏/202306081635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/Users/wyj/Desktop/wanggb/横屏/20230608163515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24250" cy="2200275"/>
            <wp:effectExtent l="0" t="0" r="0" b="0"/>
            <wp:docPr id="81" name="/Users/wyj/Desktop/wanggb/横屏/202306081028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/Users/wyj/Desktop/wanggb/横屏/20230608102817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1.4 使用贴片：单击选中贴片，贴片展示，再次单击取消贴片。</w:t>
      </w:r>
    </w:p>
    <w:p>
      <w:r>
        <w:t>1.5 删除贴片：长按贴片浮现编辑和删除按钮，点击删除按钮即可删除此贴片。</w:t>
      </w:r>
    </w:p>
    <w:p>
      <w:pPr>
        <w:pStyle w:val="6"/>
        <w:spacing w:line="204" w:lineRule="auto"/>
      </w:pPr>
      <w:bookmarkStart w:id="44" w:name="_Toc380622543"/>
      <w:r>
        <w:rPr>
          <w:b/>
          <w:sz w:val="22"/>
        </w:rPr>
        <w:t>2. 调音</w:t>
      </w:r>
      <w:bookmarkEnd w:id="44"/>
    </w:p>
    <w:p>
      <w:r>
        <w:drawing>
          <wp:inline distT="0" distB="0" distL="0" distR="0">
            <wp:extent cx="3762375" cy="2352675"/>
            <wp:effectExtent l="0" t="0" r="0" b="0"/>
            <wp:docPr id="82" name="/Users/wyj/Documents/5.0说明书素材/未命名文件夹/页面_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/Users/wyj/Documents/5.0说明书素材/未命名文件夹/页面_8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2.1 设备支持Line in/mic in/USB收声/HDMI收声/本地视频声音。当您正确接入/添加后，会在列表中高亮显示。否则置灰不可操作。</w:t>
      </w:r>
    </w:p>
    <w:p>
      <w:r>
        <w:t>2.2 对于可选的音频源，您可以开启并拖动音量条调整音量大小。</w:t>
      </w:r>
    </w:p>
    <w:p>
      <w:r>
        <w:t>2.3 监听：指的是当你在耳机输出接口接入耳机等设备时，您听到的音量。</w:t>
      </w:r>
    </w:p>
    <w:p>
      <w:r>
        <w:t>2.4 跟随：开启跟随后，接入的音频将自动开启。</w:t>
      </w:r>
    </w:p>
    <w:p>
      <w:r>
        <w:t>2.5 当前混音只支持2路HDMI、1路line in或mic in，2路本地视频。USB路音频源不支持混音。</w:t>
      </w:r>
    </w:p>
    <w:p>
      <w:r>
        <w:rPr>
          <w:color w:val="222328"/>
          <w:highlight w:val="white"/>
        </w:rPr>
        <w:t>2.6 在设备状态栏上方拾音条，根据输入音频的音量做出颜色变化提示。</w:t>
      </w:r>
    </w:p>
    <w:p>
      <w:pPr>
        <w:pStyle w:val="6"/>
        <w:spacing w:line="204" w:lineRule="auto"/>
      </w:pPr>
      <w:bookmarkStart w:id="45" w:name="_Toc1916779435"/>
      <w:r>
        <w:rPr>
          <w:b/>
          <w:sz w:val="22"/>
        </w:rPr>
        <w:t>3. 录制</w:t>
      </w:r>
      <w:bookmarkEnd w:id="45"/>
    </w:p>
    <w:p>
      <w:r>
        <w:t>3.1 录制：支持本地录制，开启录制开关后，在屏幕右上角将显示录制时长。再次点击关闭开关即可结束录制。</w:t>
      </w:r>
    </w:p>
    <w:p>
      <w:r>
        <w:t>注意：录制的是纯净流，不带第三方应用处理的效果。</w:t>
      </w:r>
    </w:p>
    <w:p>
      <w:r>
        <w:drawing>
          <wp:inline distT="0" distB="0" distL="0" distR="0">
            <wp:extent cx="3533775" cy="2209800"/>
            <wp:effectExtent l="0" t="0" r="0" b="0"/>
            <wp:docPr id="83" name="/Users/wyj/Desktop/wanggb/横屏/202306081026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/Users/wyj/Desktop/wanggb/横屏/20230608102621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3.2 录制限制：选择录制视频的时长，录制的视频将会根据所选时长进行分段录制和保存。目的是为了避免意外情况导致录制中断而视频丢失。</w:t>
      </w:r>
    </w:p>
    <w:p>
      <w:r>
        <w:drawing>
          <wp:inline distT="0" distB="0" distL="0" distR="0">
            <wp:extent cx="3533775" cy="2209800"/>
            <wp:effectExtent l="0" t="0" r="0" b="0"/>
            <wp:docPr id="84" name="/Users/wyj/Desktop/wanggb/横屏/202306081028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/Users/wyj/Desktop/wanggb/横屏/20230608102839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3.3 存储位置：选择录制视频的存储位置。当识别到插入的SD卡或U盘后将高亮显示可勾选，否则置灰不可选择。</w:t>
      </w:r>
    </w:p>
    <w:p>
      <w:r>
        <w:drawing>
          <wp:inline distT="0" distB="0" distL="0" distR="0">
            <wp:extent cx="3619500" cy="2266950"/>
            <wp:effectExtent l="0" t="0" r="0" b="0"/>
            <wp:docPr id="85" name="/Users/wyj/Desktop/wanggb/横屏/202306081028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/Users/wyj/Desktop/wanggb/横屏/20230608102846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line="204" w:lineRule="auto"/>
      </w:pPr>
      <w:bookmarkStart w:id="46" w:name="_Toc909775398"/>
      <w:r>
        <w:rPr>
          <w:b/>
          <w:sz w:val="22"/>
        </w:rPr>
        <w:t>4. 设置</w:t>
      </w:r>
      <w:bookmarkEnd w:id="46"/>
    </w:p>
    <w:p>
      <w:r>
        <w:drawing>
          <wp:inline distT="0" distB="0" distL="0" distR="0">
            <wp:extent cx="3790950" cy="2371725"/>
            <wp:effectExtent l="0" t="0" r="0" b="0"/>
            <wp:docPr id="86" name="/Users/wyj/Desktop/wanggb/横屏/202306081026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/Users/wyj/Desktop/wanggb/横屏/20230608102629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4.1 视频源切换模式。根据您的使用习惯，选择切换视频源时是单击切换还是双击切换。</w:t>
      </w:r>
    </w:p>
    <w:p>
      <w:r>
        <w:t>4.2 本地视频切换状态设置。针对视频源中的本地视频，切换到其他视频源时，您可以选择切换时继续播放/切换时恢复首帧并暂停/切换时暂停。</w:t>
      </w:r>
    </w:p>
    <w:p>
      <w:r>
        <w:t>4.3 视频输出模式。纯净输出开启后将纯净画面输出，关闭状态下为镜像输出。USB输出开启后将支持通过USB口输出，关闭状态下默认USB为输入。水平翻转为当遇到适配性问题时开启开关即可。</w:t>
      </w:r>
    </w:p>
    <w:p>
      <w:r>
        <w:t>4.4 转场动画。切换视频源时，提供多种转场动画，可以设置转场时长。</w:t>
      </w:r>
    </w:p>
    <w:p>
      <w:r>
        <w:t>4.5 云犀直播编码设置。仅针对云犀直播、本地录制有效。根据网络条件、场景复杂性等选择最佳的码率控制。</w:t>
      </w:r>
    </w:p>
    <w:p>
      <w:r>
        <w:t>4.6 智能降噪。点击切换开启/关闭，降低噪音。</w:t>
      </w:r>
    </w:p>
    <w:p>
      <w:r>
        <w:t>4.7 SD卡文件管理、便携式存储卡文件管理。支持删除文件。</w:t>
      </w:r>
    </w:p>
    <w:p/>
    <w:p>
      <w:pPr>
        <w:pStyle w:val="3"/>
        <w:spacing w:line="204" w:lineRule="auto"/>
      </w:pPr>
      <w:bookmarkStart w:id="47" w:name="_Toc511547546"/>
      <w:r>
        <w:t>第四部分：其他注意事项</w:t>
      </w:r>
      <w:bookmarkEnd w:id="47"/>
    </w:p>
    <w:p>
      <w:pPr>
        <w:pStyle w:val="4"/>
        <w:spacing w:line="204" w:lineRule="auto"/>
      </w:pPr>
      <w:bookmarkStart w:id="48" w:name="_Toc1202566681"/>
      <w:r>
        <w:t>一、如何调整直播码率</w:t>
      </w:r>
      <w:bookmarkEnd w:id="48"/>
    </w:p>
    <w:p>
      <w:r>
        <w:t>1.1 进入</w:t>
      </w:r>
      <w:r>
        <w:rPr>
          <w:b/>
        </w:rPr>
        <w:t>设置-画质(码率)</w:t>
      </w:r>
      <w:r>
        <w:t>，提供原画、蓝光、高清三个等级的画质供用户选择，其中原画最好，高清排最后。</w:t>
      </w:r>
    </w:p>
    <w:p>
      <w:r>
        <w:t>1.2 不同应用不同分辨率的码率不同，比如：抖音1080p画质档位对应为8m、6m、4m，720p对应4m、3m、2m；快手默认720 档位为4m、3m、2m。</w:t>
      </w:r>
    </w:p>
    <w:p>
      <w:r>
        <w:drawing>
          <wp:inline distT="0" distB="0" distL="0" distR="0">
            <wp:extent cx="2228850" cy="3562350"/>
            <wp:effectExtent l="0" t="0" r="0" b="0"/>
            <wp:docPr id="87" name="/Users/wyj/Documents/5.0说明书素材/未命名文件夹 2/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/Users/wyj/Documents/5.0说明书素材/未命名文件夹 2/7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38375" cy="3581400"/>
            <wp:effectExtent l="0" t="0" r="0" b="0"/>
            <wp:docPr id="88" name="/Users/wyj/Documents/5.0说明书素材/未命名文件夹 2/页面_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/Users/wyj/Documents/5.0说明书素材/未命名文件夹 2/页面_26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  <w:spacing w:line="204" w:lineRule="auto"/>
      </w:pPr>
      <w:bookmarkStart w:id="49" w:name="_Toc1569605650"/>
      <w:r>
        <w:t>二、如何使用罗技摄像头调参</w:t>
      </w:r>
      <w:bookmarkEnd w:id="49"/>
    </w:p>
    <w:p>
      <w:r>
        <w:t>1.1 首先确保接入了我们支持调参的罗技摄像头了，在桌面应用中点击选择罗技摄像头。</w:t>
      </w:r>
    </w:p>
    <w:p>
      <w:r>
        <w:t>1.2 罗技摄像头内支持对部分罗技的摄像头进行软件调参，包括罗技C1000E、罗技StreamCam、罗技C920、罗技C922。</w:t>
      </w:r>
    </w:p>
    <w:p>
      <w:r>
        <w:drawing>
          <wp:inline distT="0" distB="0" distL="0" distR="0">
            <wp:extent cx="2019300" cy="2695575"/>
            <wp:effectExtent l="0" t="0" r="0" b="0"/>
            <wp:docPr id="89" name="im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line="204" w:lineRule="auto"/>
      </w:pPr>
      <w:bookmarkStart w:id="50" w:name="_Toc673039802"/>
      <w:r>
        <w:t>三、如何更新版本</w:t>
      </w:r>
      <w:bookmarkEnd w:id="50"/>
    </w:p>
    <w:p>
      <w:r>
        <w:t>1.1 进入</w:t>
      </w:r>
      <w:r>
        <w:rPr>
          <w:b/>
        </w:rPr>
        <w:t>设置-检查更新</w:t>
      </w:r>
      <w:r>
        <w:t>，点击后若显示“已是最新版本”则不需要更新；若点击后弹出更新弹窗，您点击更新即可。</w:t>
      </w:r>
    </w:p>
    <w:p>
      <w:r>
        <w:drawing>
          <wp:inline distT="0" distB="0" distL="0" distR="0">
            <wp:extent cx="2333625" cy="3733800"/>
            <wp:effectExtent l="0" t="0" r="0" b="0"/>
            <wp:docPr id="90" name="页面_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页面_27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  <w:spacing w:line="204" w:lineRule="auto"/>
      </w:pPr>
      <w:bookmarkStart w:id="51" w:name="_Toc983583465"/>
      <w:r>
        <w:t>四、如何恢复出厂设置</w:t>
      </w:r>
      <w:bookmarkEnd w:id="51"/>
    </w:p>
    <w:p>
      <w:r>
        <w:t>1.1 当您遇到重启设备无法解决的问题时，根据我们工程师的指示，您可以前往</w:t>
      </w:r>
      <w:r>
        <w:rPr>
          <w:b/>
        </w:rPr>
        <w:t>设置-恢复出厂设置</w:t>
      </w:r>
      <w:r>
        <w:t>中清除所有数据。</w:t>
      </w:r>
    </w:p>
    <w:p>
      <w:r>
        <w:drawing>
          <wp:inline distT="0" distB="0" distL="0" distR="0">
            <wp:extent cx="1914525" cy="3067050"/>
            <wp:effectExtent l="0" t="0" r="0" b="0"/>
            <wp:docPr id="91" name="/Users/wyj/Documents/5.0说明书素材/未命名文件夹 2/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/Users/wyj/Documents/5.0说明书素材/未命名文件夹 2/8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24050" cy="3076575"/>
            <wp:effectExtent l="0" t="0" r="0" b="0"/>
            <wp:docPr id="92" name="/Users/wyj/Documents/5.0说明书素材/未命名文件夹 2/页面_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/Users/wyj/Documents/5.0说明书素材/未命名文件夹 2/页面_28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  <w:spacing w:line="204" w:lineRule="auto"/>
      </w:pPr>
      <w:bookmarkStart w:id="52" w:name="_Toc1905665296"/>
      <w:r>
        <w:t>五、如何上传日志</w:t>
      </w:r>
      <w:bookmarkEnd w:id="52"/>
    </w:p>
    <w:p>
      <w:r>
        <w:t>1.1 当您遇到问题时，根据工程师的指示进入</w:t>
      </w:r>
      <w:r>
        <w:rPr>
          <w:b/>
        </w:rPr>
        <w:t>设置-关于本机</w:t>
      </w:r>
      <w:r>
        <w:t>中，点击</w:t>
      </w:r>
      <w:r>
        <w:rPr>
          <w:b/>
        </w:rPr>
        <w:t>上传日志</w:t>
      </w:r>
      <w:r>
        <w:t>，便于我们分析问题为您解决问题。</w:t>
      </w:r>
    </w:p>
    <w:p>
      <w:r>
        <w:drawing>
          <wp:inline distT="0" distB="0" distL="0" distR="0">
            <wp:extent cx="2085975" cy="3333750"/>
            <wp:effectExtent l="0" t="0" r="0" b="0"/>
            <wp:docPr id="93" name="/Users/wyj/Documents/5.0说明书素材/未命名文件夹 2/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/Users/wyj/Documents/5.0说明书素材/未命名文件夹 2/9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085975" cy="3333750"/>
            <wp:effectExtent l="0" t="0" r="0" b="0"/>
            <wp:docPr id="94" name="/Users/wyj/Documents/5.0说明书素材/未命名文件夹 2/页面_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/Users/wyj/Documents/5.0说明书素材/未命名文件夹 2/页面_29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sectPr>
      <w:pgSz w:w="13335" w:h="16830"/>
      <w:pgMar w:top="1440" w:right="1080" w:bottom="1440" w:left="1080" w:header="638" w:footer="691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PingFang SC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Tahoma">
    <w:panose1 w:val="020B0604030504040204"/>
    <w:charset w:val="00"/>
    <w:family w:val="auto"/>
    <w:pitch w:val="default"/>
    <w:sig w:usb0="00000000" w:usb1="00000000" w:usb2="00000000" w:usb3="00000000" w:csb0="00000000" w:csb1="00000000"/>
  </w:font>
  <w:font w:name="微软雅黑">
    <w:altName w:val="汉仪旗黑"/>
    <w:panose1 w:val="00000000000000000000"/>
    <w:charset w:val="86"/>
    <w:family w:val="swiss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Cambria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BFF33D"/>
    <w:multiLevelType w:val="singleLevel"/>
    <w:tmpl w:val="F7BFF33D"/>
    <w:lvl w:ilvl="0" w:tentative="0">
      <w:start w:val="1"/>
      <w:numFmt w:val="decimal"/>
      <w:lvlText w:val="%1."/>
      <w:lvlJc w:val="left"/>
      <w:pPr>
        <w:ind w:left="420" w:hanging="420"/>
      </w:pPr>
    </w:lvl>
  </w:abstractNum>
  <w:abstractNum w:abstractNumId="1">
    <w:nsid w:val="FBFE1E92"/>
    <w:multiLevelType w:val="singleLevel"/>
    <w:tmpl w:val="FBFE1E92"/>
    <w:lvl w:ilvl="0" w:tentative="0">
      <w:start w:val="1"/>
      <w:numFmt w:val="decimal"/>
      <w:lvlText w:val="%1."/>
      <w:lvlJc w:val="left"/>
      <w:pPr>
        <w:ind w:left="42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7C5F77B2"/>
    <w:rsid w:val="7F67BABD"/>
    <w:rsid w:val="7F7F98B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</w:rPr>
  </w:style>
  <w:style w:type="paragraph" w:styleId="2">
    <w:name w:val="heading 1"/>
    <w:next w:val="1"/>
    <w:qFormat/>
    <w:uiPriority w:val="0"/>
    <w:pPr>
      <w:keepNext/>
      <w:keepLines/>
      <w:spacing w:before="348" w:after="210"/>
    </w:pPr>
    <w:rPr>
      <w:rFonts w:asciiTheme="minorHAnsi" w:hAnsiTheme="minorHAnsi" w:eastAsiaTheme="minorEastAsia" w:cstheme="minorBidi"/>
      <w:b/>
      <w:kern w:val="2"/>
      <w:sz w:val="34"/>
    </w:rPr>
  </w:style>
  <w:style w:type="paragraph" w:styleId="3">
    <w:name w:val="heading 2"/>
    <w:next w:val="1"/>
    <w:uiPriority w:val="0"/>
    <w:pPr>
      <w:keepNext/>
      <w:keepLines/>
      <w:spacing w:before="348" w:after="190"/>
      <w:outlineLvl w:val="1"/>
    </w:pPr>
    <w:rPr>
      <w:rFonts w:asciiTheme="minorAscii" w:hAnsiTheme="minorAscii" w:eastAsiaTheme="minorEastAsia" w:cstheme="minorBidi"/>
      <w:b/>
      <w:kern w:val="2"/>
      <w:sz w:val="32"/>
    </w:rPr>
  </w:style>
  <w:style w:type="paragraph" w:styleId="4">
    <w:name w:val="heading 3"/>
    <w:next w:val="1"/>
    <w:qFormat/>
    <w:uiPriority w:val="0"/>
    <w:pPr>
      <w:keepNext/>
      <w:keepLines/>
      <w:spacing w:before="348" w:after="170"/>
      <w:outlineLvl w:val="2"/>
    </w:pPr>
    <w:rPr>
      <w:rFonts w:asciiTheme="minorAscii" w:hAnsiTheme="minorAscii" w:eastAsiaTheme="minorEastAsia" w:cstheme="minorBidi"/>
      <w:b/>
      <w:kern w:val="2"/>
      <w:sz w:val="28"/>
    </w:rPr>
  </w:style>
  <w:style w:type="paragraph" w:styleId="5">
    <w:name w:val="heading 4"/>
    <w:next w:val="1"/>
    <w:uiPriority w:val="0"/>
    <w:pPr>
      <w:keepNext/>
      <w:keepLines/>
      <w:spacing w:before="348" w:after="150"/>
      <w:outlineLvl w:val="3"/>
    </w:pPr>
    <w:rPr>
      <w:rFonts w:asciiTheme="minorAscii" w:hAnsiTheme="minorAscii" w:eastAsiaTheme="minorEastAsia" w:cstheme="minorBidi"/>
      <w:b/>
      <w:kern w:val="2"/>
      <w:sz w:val="24"/>
    </w:rPr>
  </w:style>
  <w:style w:type="paragraph" w:styleId="6">
    <w:name w:val="heading 5"/>
    <w:next w:val="1"/>
    <w:qFormat/>
    <w:uiPriority w:val="0"/>
    <w:pPr>
      <w:keepNext/>
      <w:keepLines/>
      <w:spacing w:before="348" w:after="130"/>
      <w:outlineLvl w:val="4"/>
    </w:pPr>
    <w:rPr>
      <w:rFonts w:asciiTheme="minorAscii" w:hAnsiTheme="minorAscii" w:eastAsiaTheme="minorEastAsia" w:cstheme="minorBidi"/>
      <w:b/>
      <w:kern w:val="2"/>
      <w:sz w:val="21"/>
    </w:rPr>
  </w:style>
  <w:style w:type="character" w:default="1" w:styleId="13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5"/>
    <w:basedOn w:val="1"/>
    <w:next w:val="1"/>
    <w:uiPriority w:val="0"/>
    <w:pPr>
      <w:ind w:left="1680" w:leftChars="800"/>
    </w:pPr>
  </w:style>
  <w:style w:type="paragraph" w:styleId="8">
    <w:name w:val="toc 3"/>
    <w:basedOn w:val="1"/>
    <w:next w:val="1"/>
    <w:uiPriority w:val="0"/>
    <w:pPr>
      <w:ind w:left="840" w:leftChars="400"/>
    </w:pPr>
  </w:style>
  <w:style w:type="paragraph" w:styleId="9">
    <w:name w:val="toc 4"/>
    <w:basedOn w:val="1"/>
    <w:next w:val="1"/>
    <w:uiPriority w:val="0"/>
    <w:pPr>
      <w:ind w:left="1260" w:leftChars="600"/>
    </w:pPr>
  </w:style>
  <w:style w:type="paragraph" w:styleId="10">
    <w:name w:val="toc 2"/>
    <w:basedOn w:val="1"/>
    <w:next w:val="1"/>
    <w:uiPriority w:val="0"/>
    <w:pPr>
      <w:ind w:left="420" w:leftChars="200"/>
    </w:pPr>
  </w:style>
  <w:style w:type="table" w:styleId="12">
    <w:name w:val="Table Grid"/>
    <w:qFormat/>
    <w:uiPriority w:val="0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</w:style>
  <w:style w:type="paragraph" w:customStyle="1" w:styleId="14">
    <w:name w:val="dingdoc normal"/>
    <w:qFormat/>
    <w:uiPriority w:val="0"/>
    <w:rPr>
      <w:rFonts w:asciiTheme="minorHAnsi" w:hAnsiTheme="minorHAnsi" w:eastAsiaTheme="minorEastAsia" w:cstheme="minorBidi"/>
      <w:kern w:val="2"/>
      <w:sz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5" Type="http://schemas.openxmlformats.org/officeDocument/2006/relationships/fontTable" Target="fontTable.xml"/><Relationship Id="rId84" Type="http://schemas.openxmlformats.org/officeDocument/2006/relationships/numbering" Target="numbering.xml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otalTime>2</TotalTime>
  <ScaleCrop>false</ScaleCrop>
  <LinksUpToDate>false</LinksUpToDate>
  <Application>WPS Office_5.4.1.7920_F1E327BC-269C-435d-A152-05C5408002CA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1970-01-01T08:00:00Z</dcterms:created>
  <dc:creator>DingTalk</dc:creator>
  <dc:description>DingTalk Document</dc:description>
  <cp:lastModifiedBy>KUI_Clytze</cp:lastModifiedBy>
  <dcterms:modified xsi:type="dcterms:W3CDTF">2023-06-19T18:32:02Z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2052-5.4.1.7920</vt:lpwstr>
  </property>
  <property fmtid="{D5CDD505-2E9C-101B-9397-08002B2CF9AE}" pid="3" name="ICV">
    <vt:lpwstr>0A5622AB05F6723EE02D9064D15B19CE_42</vt:lpwstr>
  </property>
</Properties>
</file>