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楷体" w:hAnsi="楷体" w:eastAsia="楷体"/>
          <w:szCs w:val="21"/>
        </w:rPr>
      </w:pPr>
      <w:bookmarkStart w:id="0" w:name="_Hlk31977543"/>
      <w:r>
        <w:rPr>
          <w:rFonts w:hint="eastAsia" w:ascii="楷体" w:hAnsi="楷体" w:eastAsia="楷体" w:cs="Times New Roman"/>
          <w:b/>
          <w:sz w:val="36"/>
          <w:szCs w:val="36"/>
        </w:rPr>
        <w:t>特约商户银行卡收单及条码业务服务协议</w:t>
      </w:r>
    </w:p>
    <w:p>
      <w:pPr>
        <w:ind w:firstLine="422" w:firstLineChars="200"/>
        <w:rPr>
          <w:rFonts w:ascii="楷体" w:hAnsi="楷体" w:eastAsia="楷体"/>
          <w:b/>
          <w:szCs w:val="21"/>
        </w:rPr>
      </w:pPr>
      <w:r>
        <w:rPr>
          <w:rFonts w:hint="eastAsia" w:ascii="楷体" w:hAnsi="楷体" w:eastAsia="楷体"/>
          <w:b/>
          <w:szCs w:val="21"/>
        </w:rPr>
        <w:t>本特约商户银行卡收单业务服务协议由以下双方于上海市徐汇区签订。双方应通过友好协商解决本协议相关争议，否则，应向乙方住所地法院起诉。</w:t>
      </w:r>
    </w:p>
    <w:tbl>
      <w:tblPr>
        <w:tblStyle w:val="8"/>
        <w:tblpPr w:leftFromText="180" w:rightFromText="180" w:vertAnchor="text" w:horzAnchor="margin" w:tblpXSpec="center" w:tblpY="103"/>
        <w:tblW w:w="5000" w:type="pct"/>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autofit"/>
        <w:tblCellMar>
          <w:top w:w="0" w:type="dxa"/>
          <w:left w:w="108" w:type="dxa"/>
          <w:bottom w:w="0" w:type="dxa"/>
          <w:right w:w="108" w:type="dxa"/>
        </w:tblCellMar>
      </w:tblPr>
      <w:tblGrid>
        <w:gridCol w:w="672"/>
        <w:gridCol w:w="960"/>
        <w:gridCol w:w="978"/>
        <w:gridCol w:w="1859"/>
        <w:gridCol w:w="1483"/>
        <w:gridCol w:w="690"/>
        <w:gridCol w:w="734"/>
        <w:gridCol w:w="1440"/>
        <w:gridCol w:w="2172"/>
      </w:tblGrid>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PrEx>
        <w:trPr>
          <w:trHeight w:val="274" w:hRule="atLeast"/>
          <w:jc w:val="center"/>
        </w:trPr>
        <w:tc>
          <w:tcPr>
            <w:tcW w:w="306" w:type="pct"/>
            <w:vMerge w:val="restart"/>
            <w:vAlign w:val="center"/>
          </w:tcPr>
          <w:p>
            <w:pPr>
              <w:jc w:val="center"/>
              <w:rPr>
                <w:rFonts w:ascii="楷体" w:hAnsi="楷体" w:eastAsia="楷体"/>
                <w:szCs w:val="21"/>
              </w:rPr>
            </w:pPr>
            <w:r>
              <w:rPr>
                <w:rFonts w:hint="eastAsia" w:ascii="楷体" w:hAnsi="楷体" w:eastAsia="楷体"/>
                <w:szCs w:val="21"/>
              </w:rPr>
              <w:t>甲方信息</w:t>
            </w:r>
          </w:p>
        </w:tc>
        <w:tc>
          <w:tcPr>
            <w:tcW w:w="882" w:type="pct"/>
            <w:gridSpan w:val="2"/>
            <w:vAlign w:val="center"/>
          </w:tcPr>
          <w:p>
            <w:pPr>
              <w:jc w:val="center"/>
              <w:rPr>
                <w:rFonts w:ascii="楷体" w:hAnsi="楷体" w:eastAsia="楷体"/>
                <w:szCs w:val="21"/>
              </w:rPr>
            </w:pPr>
            <w:r>
              <w:rPr>
                <w:rFonts w:hint="eastAsia" w:ascii="楷体" w:hAnsi="楷体" w:eastAsia="楷体"/>
                <w:szCs w:val="21"/>
              </w:rPr>
              <w:t>公司全称</w:t>
            </w:r>
          </w:p>
        </w:tc>
        <w:tc>
          <w:tcPr>
            <w:tcW w:w="1521" w:type="pct"/>
            <w:gridSpan w:val="2"/>
            <w:vAlign w:val="center"/>
          </w:tcPr>
          <w:p>
            <w:pPr>
              <w:jc w:val="center"/>
              <w:rPr>
                <w:rFonts w:ascii="楷体" w:hAnsi="楷体" w:eastAsia="楷体"/>
                <w:szCs w:val="21"/>
              </w:rPr>
            </w:pPr>
            <w:permStart w:id="0" w:edGrp="everyone"/>
            <w:r>
              <w:rPr>
                <w:rFonts w:hint="eastAsia" w:ascii="楷体" w:hAnsi="楷体" w:eastAsia="楷体"/>
                <w:szCs w:val="21"/>
              </w:rPr>
              <w:t xml:space="preserve"> </w:t>
            </w:r>
            <w:r>
              <w:rPr>
                <w:rFonts w:ascii="楷体" w:hAnsi="楷体" w:eastAsia="楷体"/>
                <w:szCs w:val="21"/>
              </w:rPr>
              <w:t xml:space="preserve">      </w:t>
            </w:r>
            <w:permEnd w:id="0"/>
          </w:p>
        </w:tc>
        <w:tc>
          <w:tcPr>
            <w:tcW w:w="648" w:type="pct"/>
            <w:gridSpan w:val="2"/>
            <w:vAlign w:val="center"/>
          </w:tcPr>
          <w:p>
            <w:pPr>
              <w:jc w:val="center"/>
              <w:rPr>
                <w:rFonts w:ascii="楷体" w:hAnsi="楷体" w:eastAsia="楷体"/>
                <w:szCs w:val="21"/>
              </w:rPr>
            </w:pPr>
            <w:r>
              <w:rPr>
                <w:rFonts w:hint="eastAsia" w:ascii="楷体" w:hAnsi="楷体" w:eastAsia="楷体"/>
                <w:szCs w:val="21"/>
              </w:rPr>
              <w:t>办公地址</w:t>
            </w:r>
          </w:p>
        </w:tc>
        <w:tc>
          <w:tcPr>
            <w:tcW w:w="1643" w:type="pct"/>
            <w:gridSpan w:val="2"/>
            <w:vAlign w:val="center"/>
          </w:tcPr>
          <w:p>
            <w:pPr>
              <w:jc w:val="center"/>
              <w:rPr>
                <w:rFonts w:ascii="楷体" w:hAnsi="楷体" w:eastAsia="楷体"/>
                <w:szCs w:val="21"/>
              </w:rPr>
            </w:pPr>
            <w:permStart w:id="1" w:edGrp="everyone"/>
            <w:r>
              <w:rPr>
                <w:rFonts w:hint="eastAsia" w:ascii="楷体" w:hAnsi="楷体" w:eastAsia="楷体"/>
                <w:szCs w:val="21"/>
              </w:rPr>
              <w:t xml:space="preserve"> </w:t>
            </w:r>
            <w:r>
              <w:rPr>
                <w:rFonts w:ascii="楷体" w:hAnsi="楷体" w:eastAsia="楷体"/>
                <w:szCs w:val="21"/>
              </w:rPr>
              <w:t xml:space="preserve">      </w:t>
            </w:r>
            <w:permEnd w:id="1"/>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274" w:hRule="atLeast"/>
          <w:jc w:val="center"/>
        </w:trPr>
        <w:tc>
          <w:tcPr>
            <w:tcW w:w="306" w:type="pct"/>
            <w:vMerge w:val="continue"/>
            <w:vAlign w:val="center"/>
          </w:tcPr>
          <w:p>
            <w:pPr>
              <w:jc w:val="center"/>
              <w:rPr>
                <w:rFonts w:ascii="楷体" w:hAnsi="楷体" w:eastAsia="楷体"/>
                <w:szCs w:val="21"/>
              </w:rPr>
            </w:pPr>
          </w:p>
        </w:tc>
        <w:tc>
          <w:tcPr>
            <w:tcW w:w="882" w:type="pct"/>
            <w:gridSpan w:val="2"/>
            <w:vAlign w:val="center"/>
          </w:tcPr>
          <w:p>
            <w:pPr>
              <w:jc w:val="center"/>
              <w:rPr>
                <w:rFonts w:ascii="楷体" w:hAnsi="楷体" w:eastAsia="楷体"/>
                <w:szCs w:val="21"/>
              </w:rPr>
            </w:pPr>
            <w:r>
              <w:rPr>
                <w:rFonts w:hint="eastAsia" w:ascii="楷体" w:hAnsi="楷体" w:eastAsia="楷体"/>
                <w:szCs w:val="21"/>
              </w:rPr>
              <w:t xml:space="preserve">开户银行 </w:t>
            </w:r>
          </w:p>
        </w:tc>
        <w:tc>
          <w:tcPr>
            <w:tcW w:w="1521" w:type="pct"/>
            <w:gridSpan w:val="2"/>
            <w:vAlign w:val="center"/>
          </w:tcPr>
          <w:p>
            <w:pPr>
              <w:jc w:val="center"/>
              <w:rPr>
                <w:rFonts w:ascii="楷体" w:hAnsi="楷体" w:eastAsia="楷体"/>
                <w:szCs w:val="21"/>
              </w:rPr>
            </w:pPr>
            <w:permStart w:id="2" w:edGrp="everyone"/>
            <w:r>
              <w:rPr>
                <w:rFonts w:ascii="楷体" w:hAnsi="楷体" w:eastAsia="楷体"/>
                <w:szCs w:val="21"/>
              </w:rPr>
              <w:t xml:space="preserve">       </w:t>
            </w:r>
            <w:permEnd w:id="2"/>
          </w:p>
        </w:tc>
        <w:tc>
          <w:tcPr>
            <w:tcW w:w="648" w:type="pct"/>
            <w:gridSpan w:val="2"/>
            <w:vAlign w:val="center"/>
          </w:tcPr>
          <w:p>
            <w:pPr>
              <w:jc w:val="center"/>
              <w:rPr>
                <w:rFonts w:ascii="楷体" w:hAnsi="楷体" w:eastAsia="楷体"/>
                <w:szCs w:val="21"/>
              </w:rPr>
            </w:pPr>
            <w:r>
              <w:rPr>
                <w:rFonts w:hint="eastAsia" w:ascii="楷体" w:hAnsi="楷体" w:eastAsia="楷体"/>
                <w:szCs w:val="21"/>
              </w:rPr>
              <w:t>银行账号</w:t>
            </w:r>
          </w:p>
        </w:tc>
        <w:tc>
          <w:tcPr>
            <w:tcW w:w="1643" w:type="pct"/>
            <w:gridSpan w:val="2"/>
            <w:vAlign w:val="center"/>
          </w:tcPr>
          <w:p>
            <w:pPr>
              <w:jc w:val="right"/>
              <w:rPr>
                <w:rFonts w:ascii="楷体" w:hAnsi="楷体" w:eastAsia="楷体"/>
                <w:szCs w:val="21"/>
              </w:rPr>
            </w:pPr>
            <w:permStart w:id="3" w:edGrp="everyone"/>
            <w:r>
              <w:rPr>
                <w:rFonts w:ascii="楷体" w:hAnsi="楷体" w:eastAsia="楷体"/>
                <w:szCs w:val="21"/>
              </w:rPr>
              <w:t xml:space="preserve">       </w:t>
            </w:r>
            <w:permEnd w:id="3"/>
            <w:r>
              <w:rPr>
                <w:rFonts w:hint="eastAsia" w:ascii="楷体" w:hAnsi="楷体" w:eastAsia="楷体"/>
                <w:szCs w:val="21"/>
              </w:rPr>
              <w:t>（即结算账号）</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274" w:hRule="atLeast"/>
          <w:jc w:val="center"/>
        </w:trPr>
        <w:tc>
          <w:tcPr>
            <w:tcW w:w="306" w:type="pct"/>
            <w:vMerge w:val="continue"/>
            <w:vAlign w:val="center"/>
          </w:tcPr>
          <w:p>
            <w:pPr>
              <w:jc w:val="center"/>
              <w:rPr>
                <w:rFonts w:ascii="楷体" w:hAnsi="楷体" w:eastAsia="楷体"/>
                <w:szCs w:val="21"/>
              </w:rPr>
            </w:pPr>
          </w:p>
        </w:tc>
        <w:tc>
          <w:tcPr>
            <w:tcW w:w="882" w:type="pct"/>
            <w:gridSpan w:val="2"/>
            <w:vAlign w:val="center"/>
          </w:tcPr>
          <w:p>
            <w:pPr>
              <w:jc w:val="center"/>
              <w:rPr>
                <w:rFonts w:ascii="楷体" w:hAnsi="楷体" w:eastAsia="楷体"/>
                <w:szCs w:val="21"/>
              </w:rPr>
            </w:pPr>
            <w:r>
              <w:rPr>
                <w:rFonts w:hint="eastAsia" w:ascii="楷体" w:hAnsi="楷体" w:eastAsia="楷体"/>
                <w:szCs w:val="21"/>
              </w:rPr>
              <w:t>联系人</w:t>
            </w:r>
          </w:p>
        </w:tc>
        <w:tc>
          <w:tcPr>
            <w:tcW w:w="1521" w:type="pct"/>
            <w:gridSpan w:val="2"/>
            <w:vAlign w:val="center"/>
          </w:tcPr>
          <w:p>
            <w:pPr>
              <w:jc w:val="right"/>
              <w:rPr>
                <w:rFonts w:ascii="楷体" w:hAnsi="楷体" w:eastAsia="楷体"/>
                <w:szCs w:val="21"/>
              </w:rPr>
            </w:pPr>
            <w:permStart w:id="4" w:edGrp="everyone"/>
            <w:r>
              <w:rPr>
                <w:rFonts w:hint="eastAsia" w:ascii="楷体" w:hAnsi="楷体" w:eastAsia="楷体"/>
                <w:szCs w:val="21"/>
              </w:rPr>
              <w:t xml:space="preserve"> </w:t>
            </w:r>
            <w:r>
              <w:rPr>
                <w:rFonts w:ascii="楷体" w:hAnsi="楷体" w:eastAsia="楷体"/>
                <w:szCs w:val="21"/>
              </w:rPr>
              <w:t xml:space="preserve">      </w:t>
            </w:r>
            <w:permEnd w:id="4"/>
            <w:r>
              <w:rPr>
                <w:rFonts w:hint="eastAsia" w:ascii="楷体" w:hAnsi="楷体" w:eastAsia="楷体"/>
                <w:szCs w:val="21"/>
              </w:rPr>
              <w:t>（即调单联系人）</w:t>
            </w:r>
          </w:p>
        </w:tc>
        <w:tc>
          <w:tcPr>
            <w:tcW w:w="648" w:type="pct"/>
            <w:gridSpan w:val="2"/>
            <w:vAlign w:val="center"/>
          </w:tcPr>
          <w:p>
            <w:pPr>
              <w:jc w:val="center"/>
              <w:rPr>
                <w:rFonts w:ascii="楷体" w:hAnsi="楷体" w:eastAsia="楷体"/>
                <w:szCs w:val="21"/>
              </w:rPr>
            </w:pPr>
            <w:r>
              <w:rPr>
                <w:rFonts w:hint="eastAsia" w:ascii="楷体" w:hAnsi="楷体" w:eastAsia="楷体"/>
                <w:szCs w:val="21"/>
              </w:rPr>
              <w:t>移动电话</w:t>
            </w:r>
          </w:p>
        </w:tc>
        <w:tc>
          <w:tcPr>
            <w:tcW w:w="1643" w:type="pct"/>
            <w:gridSpan w:val="2"/>
            <w:vAlign w:val="center"/>
          </w:tcPr>
          <w:p>
            <w:pPr>
              <w:jc w:val="center"/>
              <w:rPr>
                <w:rFonts w:ascii="楷体" w:hAnsi="楷体" w:eastAsia="楷体"/>
                <w:szCs w:val="21"/>
              </w:rPr>
            </w:pPr>
            <w:permStart w:id="5" w:edGrp="everyone"/>
            <w:r>
              <w:rPr>
                <w:rFonts w:ascii="楷体" w:hAnsi="楷体" w:eastAsia="楷体"/>
                <w:szCs w:val="21"/>
              </w:rPr>
              <w:t xml:space="preserve">       </w:t>
            </w:r>
            <w:permEnd w:id="5"/>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 w:hRule="atLeast"/>
          <w:jc w:val="center"/>
        </w:trPr>
        <w:tc>
          <w:tcPr>
            <w:tcW w:w="306" w:type="pct"/>
            <w:vMerge w:val="continue"/>
          </w:tcPr>
          <w:p>
            <w:pPr>
              <w:jc w:val="center"/>
              <w:rPr>
                <w:rFonts w:ascii="楷体" w:hAnsi="楷体" w:eastAsia="楷体"/>
                <w:szCs w:val="21"/>
              </w:rPr>
            </w:pPr>
          </w:p>
        </w:tc>
        <w:tc>
          <w:tcPr>
            <w:tcW w:w="882" w:type="pct"/>
            <w:gridSpan w:val="2"/>
            <w:vAlign w:val="center"/>
          </w:tcPr>
          <w:p>
            <w:pPr>
              <w:jc w:val="center"/>
              <w:rPr>
                <w:rFonts w:ascii="楷体" w:hAnsi="楷体" w:eastAsia="楷体"/>
                <w:szCs w:val="21"/>
              </w:rPr>
            </w:pPr>
            <w:r>
              <w:rPr>
                <w:rFonts w:hint="eastAsia" w:ascii="楷体" w:hAnsi="楷体" w:eastAsia="楷体"/>
                <w:szCs w:val="21"/>
              </w:rPr>
              <w:t>电子邮箱</w:t>
            </w:r>
          </w:p>
        </w:tc>
        <w:tc>
          <w:tcPr>
            <w:tcW w:w="1521" w:type="pct"/>
            <w:gridSpan w:val="2"/>
            <w:vAlign w:val="center"/>
          </w:tcPr>
          <w:p>
            <w:pPr>
              <w:jc w:val="center"/>
              <w:rPr>
                <w:rFonts w:ascii="楷体" w:hAnsi="楷体" w:eastAsia="楷体"/>
                <w:szCs w:val="21"/>
              </w:rPr>
            </w:pPr>
            <w:permStart w:id="6" w:edGrp="everyone"/>
            <w:r>
              <w:rPr>
                <w:rFonts w:ascii="楷体" w:hAnsi="楷体" w:eastAsia="楷体"/>
                <w:szCs w:val="21"/>
              </w:rPr>
              <w:t xml:space="preserve">       </w:t>
            </w:r>
            <w:permEnd w:id="6"/>
          </w:p>
        </w:tc>
        <w:tc>
          <w:tcPr>
            <w:tcW w:w="648" w:type="pct"/>
            <w:gridSpan w:val="2"/>
            <w:vAlign w:val="center"/>
          </w:tcPr>
          <w:p>
            <w:pPr>
              <w:jc w:val="center"/>
              <w:rPr>
                <w:rFonts w:ascii="楷体" w:hAnsi="楷体" w:eastAsia="楷体"/>
                <w:szCs w:val="21"/>
              </w:rPr>
            </w:pPr>
            <w:r>
              <w:rPr>
                <w:rFonts w:hint="eastAsia" w:ascii="楷体" w:hAnsi="楷体" w:eastAsia="楷体"/>
                <w:szCs w:val="21"/>
              </w:rPr>
              <w:t>办公电话</w:t>
            </w:r>
          </w:p>
        </w:tc>
        <w:tc>
          <w:tcPr>
            <w:tcW w:w="1643" w:type="pct"/>
            <w:gridSpan w:val="2"/>
            <w:vAlign w:val="center"/>
          </w:tcPr>
          <w:p>
            <w:pPr>
              <w:jc w:val="center"/>
              <w:rPr>
                <w:rFonts w:ascii="楷体" w:hAnsi="楷体" w:eastAsia="楷体"/>
                <w:szCs w:val="21"/>
              </w:rPr>
            </w:pPr>
            <w:permStart w:id="7" w:edGrp="everyone"/>
            <w:r>
              <w:rPr>
                <w:rFonts w:ascii="楷体" w:hAnsi="楷体" w:eastAsia="楷体"/>
                <w:szCs w:val="21"/>
              </w:rPr>
              <w:t xml:space="preserve">       </w:t>
            </w:r>
            <w:permEnd w:id="7"/>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 w:hRule="atLeast"/>
          <w:jc w:val="center"/>
        </w:trPr>
        <w:tc>
          <w:tcPr>
            <w:tcW w:w="306" w:type="pct"/>
            <w:vMerge w:val="continue"/>
            <w:vAlign w:val="center"/>
          </w:tcPr>
          <w:p>
            <w:pPr>
              <w:jc w:val="center"/>
              <w:rPr>
                <w:rFonts w:ascii="楷体" w:hAnsi="楷体" w:eastAsia="楷体"/>
                <w:szCs w:val="21"/>
              </w:rPr>
            </w:pPr>
          </w:p>
        </w:tc>
        <w:tc>
          <w:tcPr>
            <w:tcW w:w="882" w:type="pct"/>
            <w:gridSpan w:val="2"/>
            <w:vAlign w:val="center"/>
          </w:tcPr>
          <w:p>
            <w:pPr>
              <w:jc w:val="center"/>
              <w:rPr>
                <w:rFonts w:ascii="楷体" w:hAnsi="楷体" w:eastAsia="楷体"/>
                <w:szCs w:val="21"/>
              </w:rPr>
            </w:pPr>
            <w:r>
              <w:rPr>
                <w:rFonts w:hint="eastAsia" w:ascii="楷体" w:hAnsi="楷体" w:eastAsia="楷体"/>
                <w:szCs w:val="21"/>
              </w:rPr>
              <w:t>装机场所类别</w:t>
            </w:r>
          </w:p>
        </w:tc>
        <w:tc>
          <w:tcPr>
            <w:tcW w:w="1521" w:type="pct"/>
            <w:gridSpan w:val="2"/>
            <w:tcBorders>
              <w:right w:val="single" w:color="auto" w:sz="4" w:space="0"/>
            </w:tcBorders>
            <w:vAlign w:val="center"/>
          </w:tcPr>
          <w:p>
            <w:pPr>
              <w:jc w:val="center"/>
              <w:rPr>
                <w:rFonts w:ascii="楷体" w:hAnsi="楷体" w:eastAsia="楷体"/>
                <w:szCs w:val="21"/>
              </w:rPr>
            </w:pPr>
            <w:permStart w:id="8" w:edGrp="everyone"/>
            <w:r>
              <w:rPr>
                <w:rFonts w:hint="eastAsia" w:ascii="楷体" w:hAnsi="楷体" w:eastAsia="楷体"/>
                <w:szCs w:val="21"/>
              </w:rPr>
              <w:sym w:font="Wingdings" w:char="F0A8"/>
            </w:r>
            <w:permEnd w:id="8"/>
            <w:r>
              <w:rPr>
                <w:rFonts w:hint="eastAsia" w:ascii="楷体" w:hAnsi="楷体" w:eastAsia="楷体"/>
                <w:szCs w:val="21"/>
              </w:rPr>
              <w:t xml:space="preserve">多店       </w:t>
            </w:r>
            <w:permStart w:id="9" w:edGrp="everyone"/>
            <w:r>
              <w:rPr>
                <w:rFonts w:hint="eastAsia" w:ascii="楷体" w:hAnsi="楷体" w:eastAsia="楷体"/>
                <w:szCs w:val="21"/>
              </w:rPr>
              <w:sym w:font="Wingdings" w:char="F0A8"/>
            </w:r>
            <w:permEnd w:id="9"/>
            <w:r>
              <w:rPr>
                <w:rFonts w:hint="eastAsia" w:ascii="楷体" w:hAnsi="楷体" w:eastAsia="楷体"/>
                <w:szCs w:val="21"/>
              </w:rPr>
              <w:t>单店</w:t>
            </w:r>
          </w:p>
        </w:tc>
        <w:tc>
          <w:tcPr>
            <w:tcW w:w="648"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szCs w:val="21"/>
              </w:rPr>
            </w:pPr>
            <w:r>
              <w:rPr>
                <w:rFonts w:hint="eastAsia" w:ascii="楷体" w:hAnsi="楷体" w:eastAsia="楷体"/>
                <w:szCs w:val="21"/>
              </w:rPr>
              <w:t>引荐方</w:t>
            </w:r>
          </w:p>
        </w:tc>
        <w:tc>
          <w:tcPr>
            <w:tcW w:w="1643" w:type="pct"/>
            <w:gridSpan w:val="2"/>
            <w:tcBorders>
              <w:top w:val="single" w:color="auto" w:sz="4" w:space="0"/>
              <w:left w:val="single" w:color="auto" w:sz="4" w:space="0"/>
              <w:bottom w:val="single" w:color="auto" w:sz="4" w:space="0"/>
              <w:right w:val="single" w:color="auto" w:sz="4" w:space="0"/>
            </w:tcBorders>
            <w:vAlign w:val="center"/>
          </w:tcPr>
          <w:p>
            <w:pPr>
              <w:rPr>
                <w:rFonts w:ascii="楷体" w:hAnsi="楷体" w:eastAsia="楷体"/>
                <w:szCs w:val="21"/>
              </w:rPr>
            </w:pPr>
            <w:permStart w:id="10" w:edGrp="everyone"/>
            <w:r>
              <w:rPr>
                <w:rFonts w:hint="eastAsia" w:ascii="楷体" w:hAnsi="楷体" w:eastAsia="楷体"/>
                <w:szCs w:val="21"/>
              </w:rPr>
              <w:sym w:font="Wingdings" w:char="F0A8"/>
            </w:r>
            <w:permEnd w:id="10"/>
            <w:r>
              <w:rPr>
                <w:rFonts w:hint="eastAsia" w:ascii="楷体" w:hAnsi="楷体" w:eastAsia="楷体"/>
                <w:szCs w:val="21"/>
              </w:rPr>
              <w:t xml:space="preserve">合作商 </w:t>
            </w:r>
            <w:permStart w:id="11" w:edGrp="everyone"/>
            <w:r>
              <w:rPr>
                <w:rFonts w:hint="eastAsia" w:ascii="楷体" w:hAnsi="楷体" w:eastAsia="楷体"/>
                <w:szCs w:val="21"/>
              </w:rPr>
              <w:sym w:font="Wingdings" w:char="F0A8"/>
            </w:r>
            <w:permEnd w:id="11"/>
            <w:r>
              <w:rPr>
                <w:rFonts w:hint="eastAsia" w:ascii="楷体" w:hAnsi="楷体" w:eastAsia="楷体"/>
                <w:szCs w:val="21"/>
              </w:rPr>
              <w:t>业务员 编号：</w:t>
            </w:r>
            <w:permStart w:id="12" w:edGrp="everyone"/>
            <w:r>
              <w:rPr>
                <w:rFonts w:hint="eastAsia" w:ascii="楷体" w:hAnsi="楷体" w:eastAsia="楷体"/>
                <w:szCs w:val="21"/>
              </w:rPr>
              <w:t xml:space="preserve"> </w:t>
            </w:r>
            <w:r>
              <w:rPr>
                <w:rFonts w:ascii="楷体" w:hAnsi="楷体" w:eastAsia="楷体"/>
                <w:szCs w:val="21"/>
              </w:rPr>
              <w:t xml:space="preserve">       </w:t>
            </w:r>
            <w:permEnd w:id="12"/>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125" w:hRule="atLeast"/>
          <w:jc w:val="center"/>
        </w:trPr>
        <w:tc>
          <w:tcPr>
            <w:tcW w:w="306" w:type="pct"/>
            <w:vMerge w:val="continue"/>
            <w:vAlign w:val="center"/>
          </w:tcPr>
          <w:p>
            <w:pPr>
              <w:jc w:val="center"/>
              <w:rPr>
                <w:rFonts w:ascii="楷体" w:hAnsi="楷体" w:eastAsia="楷体"/>
                <w:szCs w:val="21"/>
              </w:rPr>
            </w:pPr>
          </w:p>
        </w:tc>
        <w:tc>
          <w:tcPr>
            <w:tcW w:w="882" w:type="pct"/>
            <w:gridSpan w:val="2"/>
            <w:vAlign w:val="center"/>
          </w:tcPr>
          <w:p>
            <w:pPr>
              <w:jc w:val="center"/>
              <w:rPr>
                <w:rFonts w:ascii="楷体" w:hAnsi="楷体" w:eastAsia="楷体"/>
                <w:szCs w:val="21"/>
              </w:rPr>
            </w:pPr>
            <w:r>
              <w:rPr>
                <w:rFonts w:hint="eastAsia" w:ascii="楷体" w:hAnsi="楷体" w:eastAsia="楷体"/>
                <w:szCs w:val="21"/>
              </w:rPr>
              <w:t>引荐方名称/姓名</w:t>
            </w:r>
          </w:p>
        </w:tc>
        <w:tc>
          <w:tcPr>
            <w:tcW w:w="1521" w:type="pct"/>
            <w:gridSpan w:val="2"/>
            <w:tcBorders>
              <w:right w:val="single" w:color="auto" w:sz="4" w:space="0"/>
            </w:tcBorders>
            <w:vAlign w:val="center"/>
          </w:tcPr>
          <w:p>
            <w:pPr>
              <w:jc w:val="center"/>
              <w:rPr>
                <w:rFonts w:ascii="楷体" w:hAnsi="楷体" w:eastAsia="楷体"/>
                <w:szCs w:val="21"/>
              </w:rPr>
            </w:pPr>
            <w:permStart w:id="13" w:edGrp="everyone"/>
            <w:r>
              <w:rPr>
                <w:rFonts w:ascii="楷体" w:hAnsi="楷体" w:eastAsia="楷体"/>
                <w:szCs w:val="21"/>
              </w:rPr>
              <w:t xml:space="preserve">      </w:t>
            </w:r>
            <w:permEnd w:id="13"/>
          </w:p>
        </w:tc>
        <w:tc>
          <w:tcPr>
            <w:tcW w:w="648"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szCs w:val="21"/>
              </w:rPr>
            </w:pPr>
            <w:r>
              <w:rPr>
                <w:rFonts w:hint="eastAsia" w:ascii="楷体" w:hAnsi="楷体" w:eastAsia="楷体"/>
                <w:szCs w:val="21"/>
              </w:rPr>
              <w:t>协议编号</w:t>
            </w:r>
          </w:p>
        </w:tc>
        <w:tc>
          <w:tcPr>
            <w:tcW w:w="1643"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szCs w:val="21"/>
              </w:rPr>
            </w:pPr>
            <w:permStart w:id="14" w:edGrp="everyone"/>
            <w:r>
              <w:rPr>
                <w:rFonts w:ascii="楷体" w:hAnsi="楷体" w:eastAsia="楷体"/>
                <w:szCs w:val="21"/>
              </w:rPr>
              <w:t xml:space="preserve">       </w:t>
            </w:r>
            <w:permEnd w:id="14"/>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 w:hRule="atLeast"/>
          <w:jc w:val="center"/>
        </w:trPr>
        <w:tc>
          <w:tcPr>
            <w:tcW w:w="306" w:type="pct"/>
            <w:vMerge w:val="restart"/>
            <w:vAlign w:val="center"/>
          </w:tcPr>
          <w:p>
            <w:pPr>
              <w:jc w:val="center"/>
              <w:rPr>
                <w:rFonts w:ascii="楷体" w:hAnsi="楷体" w:eastAsia="楷体"/>
                <w:szCs w:val="21"/>
              </w:rPr>
            </w:pPr>
            <w:r>
              <w:rPr>
                <w:rFonts w:hint="eastAsia" w:ascii="楷体" w:hAnsi="楷体" w:eastAsia="楷体"/>
                <w:szCs w:val="21"/>
              </w:rPr>
              <w:t>产品</w:t>
            </w:r>
          </w:p>
          <w:p>
            <w:pPr>
              <w:jc w:val="center"/>
              <w:rPr>
                <w:rFonts w:ascii="楷体" w:hAnsi="楷体" w:eastAsia="楷体"/>
                <w:szCs w:val="21"/>
              </w:rPr>
            </w:pPr>
            <w:r>
              <w:rPr>
                <w:rFonts w:hint="eastAsia" w:ascii="楷体" w:hAnsi="楷体" w:eastAsia="楷体"/>
                <w:szCs w:val="21"/>
              </w:rPr>
              <w:t>信息</w:t>
            </w:r>
          </w:p>
          <w:p>
            <w:pPr>
              <w:jc w:val="center"/>
              <w:rPr>
                <w:rFonts w:ascii="楷体" w:hAnsi="楷体" w:eastAsia="楷体"/>
                <w:szCs w:val="21"/>
              </w:rPr>
            </w:pPr>
            <w:r>
              <w:rPr>
                <w:rFonts w:hint="eastAsia" w:ascii="楷体" w:hAnsi="楷体" w:eastAsia="楷体"/>
                <w:szCs w:val="21"/>
              </w:rPr>
              <w:t>登记</w:t>
            </w:r>
          </w:p>
          <w:p>
            <w:pPr>
              <w:jc w:val="center"/>
              <w:rPr>
                <w:rFonts w:ascii="楷体" w:hAnsi="楷体" w:eastAsia="楷体"/>
                <w:szCs w:val="21"/>
              </w:rPr>
            </w:pPr>
            <w:r>
              <w:rPr>
                <w:rFonts w:hint="eastAsia" w:ascii="楷体" w:hAnsi="楷体" w:eastAsia="楷体"/>
                <w:szCs w:val="21"/>
              </w:rPr>
              <w:t>表</w:t>
            </w:r>
          </w:p>
        </w:tc>
        <w:tc>
          <w:tcPr>
            <w:tcW w:w="437" w:type="pct"/>
            <w:vMerge w:val="restart"/>
            <w:vAlign w:val="center"/>
          </w:tcPr>
          <w:p>
            <w:pPr>
              <w:jc w:val="center"/>
              <w:rPr>
                <w:rFonts w:ascii="楷体" w:hAnsi="楷体" w:eastAsia="楷体"/>
                <w:szCs w:val="21"/>
              </w:rPr>
            </w:pPr>
            <w:r>
              <w:rPr>
                <w:rFonts w:hint="eastAsia" w:ascii="楷体" w:hAnsi="楷体" w:eastAsia="楷体"/>
                <w:szCs w:val="21"/>
              </w:rPr>
              <w:t>常规</w:t>
            </w:r>
          </w:p>
          <w:p>
            <w:pPr>
              <w:jc w:val="center"/>
              <w:rPr>
                <w:rFonts w:ascii="楷体" w:hAnsi="楷体" w:eastAsia="楷体"/>
                <w:szCs w:val="21"/>
              </w:rPr>
            </w:pPr>
            <w:r>
              <w:rPr>
                <w:rFonts w:hint="eastAsia" w:ascii="楷体" w:hAnsi="楷体" w:eastAsia="楷体"/>
                <w:szCs w:val="21"/>
              </w:rPr>
              <w:t>业务</w:t>
            </w:r>
          </w:p>
        </w:tc>
        <w:tc>
          <w:tcPr>
            <w:tcW w:w="445" w:type="pct"/>
            <w:vMerge w:val="restart"/>
            <w:vAlign w:val="center"/>
          </w:tcPr>
          <w:p>
            <w:pPr>
              <w:jc w:val="center"/>
              <w:rPr>
                <w:rFonts w:ascii="楷体" w:hAnsi="楷体" w:eastAsia="楷体"/>
                <w:szCs w:val="21"/>
              </w:rPr>
            </w:pPr>
            <w:r>
              <w:rPr>
                <w:rFonts w:hint="eastAsia" w:ascii="楷体" w:hAnsi="楷体" w:eastAsia="楷体"/>
                <w:szCs w:val="21"/>
              </w:rPr>
              <w:t>银行卡</w:t>
            </w:r>
          </w:p>
          <w:p>
            <w:pPr>
              <w:jc w:val="center"/>
              <w:rPr>
                <w:rFonts w:ascii="楷体" w:hAnsi="楷体" w:eastAsia="楷体"/>
                <w:szCs w:val="21"/>
              </w:rPr>
            </w:pPr>
            <w:r>
              <w:rPr>
                <w:rFonts w:hint="eastAsia" w:ascii="楷体" w:hAnsi="楷体" w:eastAsia="楷体"/>
                <w:szCs w:val="21"/>
              </w:rPr>
              <w:t>收单</w:t>
            </w:r>
          </w:p>
          <w:p>
            <w:pPr>
              <w:jc w:val="center"/>
              <w:rPr>
                <w:rFonts w:ascii="楷体" w:hAnsi="楷体" w:eastAsia="楷体"/>
                <w:szCs w:val="21"/>
              </w:rPr>
            </w:pPr>
            <w:r>
              <w:rPr>
                <w:rFonts w:hint="eastAsia" w:ascii="楷体" w:hAnsi="楷体" w:eastAsia="楷体"/>
                <w:szCs w:val="21"/>
              </w:rPr>
              <w:t>（线下</w:t>
            </w:r>
          </w:p>
          <w:p>
            <w:pPr>
              <w:jc w:val="center"/>
              <w:rPr>
                <w:rFonts w:ascii="楷体" w:hAnsi="楷体" w:eastAsia="楷体"/>
                <w:szCs w:val="21"/>
              </w:rPr>
            </w:pPr>
            <w:r>
              <w:rPr>
                <w:rFonts w:hint="eastAsia" w:ascii="楷体" w:hAnsi="楷体" w:eastAsia="楷体"/>
                <w:szCs w:val="21"/>
              </w:rPr>
              <w:t>场景）</w:t>
            </w:r>
          </w:p>
        </w:tc>
        <w:tc>
          <w:tcPr>
            <w:tcW w:w="846" w:type="pct"/>
            <w:vAlign w:val="center"/>
          </w:tcPr>
          <w:p>
            <w:pPr>
              <w:jc w:val="left"/>
              <w:rPr>
                <w:rFonts w:ascii="楷体" w:hAnsi="楷体" w:eastAsia="楷体"/>
                <w:szCs w:val="21"/>
              </w:rPr>
            </w:pPr>
            <w:r>
              <w:rPr>
                <w:rFonts w:hint="eastAsia" w:ascii="楷体" w:hAnsi="楷体" w:eastAsia="楷体"/>
                <w:szCs w:val="21"/>
              </w:rPr>
              <w:t>银行卡支付</w:t>
            </w:r>
          </w:p>
        </w:tc>
        <w:tc>
          <w:tcPr>
            <w:tcW w:w="1323" w:type="pct"/>
            <w:gridSpan w:val="3"/>
            <w:tcBorders>
              <w:top w:val="single" w:color="auto" w:sz="4" w:space="0"/>
            </w:tcBorders>
            <w:vAlign w:val="center"/>
          </w:tcPr>
          <w:p>
            <w:pPr>
              <w:rPr>
                <w:rFonts w:ascii="楷体" w:hAnsi="楷体" w:eastAsia="楷体"/>
                <w:color w:val="FF0000"/>
                <w:szCs w:val="21"/>
              </w:rPr>
            </w:pPr>
            <w:permStart w:id="15" w:edGrp="everyone"/>
            <w:r>
              <w:rPr>
                <w:rFonts w:hint="eastAsia" w:ascii="楷体_GB2312" w:hAnsi="Times New Roman" w:eastAsia="楷体_GB2312" w:cs="Times New Roman"/>
                <w:szCs w:val="21"/>
              </w:rPr>
              <w:sym w:font="Wingdings" w:char="F06F"/>
            </w:r>
            <w:permEnd w:id="15"/>
            <w:r>
              <w:rPr>
                <w:rFonts w:hint="eastAsia" w:ascii="楷体" w:hAnsi="楷体" w:eastAsia="楷体"/>
                <w:szCs w:val="21"/>
              </w:rPr>
              <w:t>贷记卡</w:t>
            </w:r>
            <w:permStart w:id="16" w:edGrp="everyone"/>
            <w:r>
              <w:rPr>
                <w:rFonts w:ascii="楷体" w:hAnsi="楷体" w:eastAsia="楷体"/>
                <w:szCs w:val="21"/>
                <w:u w:val="single"/>
              </w:rPr>
              <w:t xml:space="preserve">     </w:t>
            </w:r>
            <w:permEnd w:id="16"/>
          </w:p>
        </w:tc>
        <w:tc>
          <w:tcPr>
            <w:tcW w:w="1643" w:type="pct"/>
            <w:gridSpan w:val="2"/>
            <w:tcBorders>
              <w:top w:val="single" w:color="auto" w:sz="4" w:space="0"/>
            </w:tcBorders>
            <w:vAlign w:val="center"/>
          </w:tcPr>
          <w:p>
            <w:pPr>
              <w:rPr>
                <w:rFonts w:ascii="楷体" w:hAnsi="楷体" w:eastAsia="楷体"/>
                <w:color w:val="FF0000"/>
                <w:szCs w:val="21"/>
              </w:rPr>
            </w:pPr>
            <w:permStart w:id="17" w:edGrp="everyone"/>
            <w:r>
              <w:rPr>
                <w:rFonts w:hint="eastAsia" w:ascii="楷体_GB2312" w:hAnsi="Times New Roman" w:eastAsia="楷体_GB2312" w:cs="Times New Roman"/>
                <w:szCs w:val="21"/>
              </w:rPr>
              <w:sym w:font="Wingdings" w:char="F06F"/>
            </w:r>
            <w:permEnd w:id="17"/>
            <w:r>
              <w:rPr>
                <w:rFonts w:hint="eastAsia" w:ascii="楷体" w:hAnsi="楷体" w:eastAsia="楷体"/>
                <w:szCs w:val="21"/>
              </w:rPr>
              <w:t>借记卡</w:t>
            </w:r>
            <w:permStart w:id="18" w:edGrp="everyone"/>
            <w:r>
              <w:rPr>
                <w:rFonts w:ascii="楷体" w:hAnsi="楷体" w:eastAsia="楷体"/>
                <w:szCs w:val="21"/>
                <w:u w:val="single"/>
              </w:rPr>
              <w:t xml:space="preserve">     </w:t>
            </w:r>
            <w:permEnd w:id="18"/>
            <w:r>
              <w:rPr>
                <w:rFonts w:hint="eastAsia" w:ascii="楷体" w:hAnsi="楷体" w:eastAsia="楷体"/>
                <w:szCs w:val="21"/>
              </w:rPr>
              <w:t>（每笔</w:t>
            </w:r>
            <w:permStart w:id="19" w:edGrp="everyone"/>
            <w:r>
              <w:rPr>
                <w:rFonts w:ascii="楷体" w:hAnsi="楷体" w:eastAsia="楷体"/>
                <w:szCs w:val="21"/>
                <w:u w:val="single"/>
              </w:rPr>
              <w:t xml:space="preserve">     </w:t>
            </w:r>
            <w:permEnd w:id="19"/>
            <w:r>
              <w:rPr>
                <w:rFonts w:hint="eastAsia" w:ascii="楷体" w:hAnsi="楷体" w:eastAsia="楷体"/>
                <w:szCs w:val="21"/>
              </w:rPr>
              <w:t>元封顶）</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52" w:hRule="atLeast"/>
          <w:jc w:val="center"/>
        </w:trPr>
        <w:tc>
          <w:tcPr>
            <w:tcW w:w="306" w:type="pct"/>
            <w:vMerge w:val="continue"/>
            <w:vAlign w:val="center"/>
          </w:tcPr>
          <w:p>
            <w:pPr>
              <w:jc w:val="center"/>
              <w:rPr>
                <w:rFonts w:ascii="楷体" w:hAnsi="楷体" w:eastAsia="楷体"/>
                <w:szCs w:val="21"/>
              </w:rPr>
            </w:pPr>
          </w:p>
        </w:tc>
        <w:tc>
          <w:tcPr>
            <w:tcW w:w="437" w:type="pct"/>
            <w:vMerge w:val="continue"/>
            <w:vAlign w:val="center"/>
          </w:tcPr>
          <w:p>
            <w:pPr>
              <w:jc w:val="center"/>
              <w:rPr>
                <w:rFonts w:ascii="楷体" w:hAnsi="楷体" w:eastAsia="楷体"/>
                <w:szCs w:val="21"/>
              </w:rPr>
            </w:pPr>
          </w:p>
        </w:tc>
        <w:tc>
          <w:tcPr>
            <w:tcW w:w="445" w:type="pct"/>
            <w:vMerge w:val="continue"/>
            <w:vAlign w:val="center"/>
          </w:tcPr>
          <w:p>
            <w:pPr>
              <w:jc w:val="center"/>
              <w:rPr>
                <w:rFonts w:ascii="楷体" w:hAnsi="楷体" w:eastAsia="楷体"/>
                <w:szCs w:val="21"/>
                <w:u w:val="single"/>
              </w:rPr>
            </w:pPr>
          </w:p>
        </w:tc>
        <w:tc>
          <w:tcPr>
            <w:tcW w:w="846" w:type="pct"/>
            <w:vMerge w:val="restart"/>
            <w:tcBorders>
              <w:right w:val="single" w:color="auto" w:sz="4" w:space="0"/>
            </w:tcBorders>
            <w:vAlign w:val="center"/>
          </w:tcPr>
          <w:p>
            <w:pPr>
              <w:jc w:val="left"/>
              <w:rPr>
                <w:rFonts w:ascii="楷体" w:hAnsi="楷体" w:eastAsia="楷体"/>
                <w:szCs w:val="21"/>
                <w:u w:val="single"/>
              </w:rPr>
            </w:pPr>
            <w:r>
              <w:rPr>
                <w:rFonts w:hint="eastAsia" w:ascii="楷体" w:hAnsi="楷体" w:eastAsia="楷体"/>
                <w:szCs w:val="21"/>
              </w:rPr>
              <w:t>条码支付*</w:t>
            </w:r>
          </w:p>
        </w:tc>
        <w:tc>
          <w:tcPr>
            <w:tcW w:w="1323" w:type="pct"/>
            <w:gridSpan w:val="3"/>
            <w:tcBorders>
              <w:left w:val="single" w:color="auto" w:sz="4" w:space="0"/>
            </w:tcBorders>
            <w:vAlign w:val="center"/>
          </w:tcPr>
          <w:p>
            <w:pPr>
              <w:rPr>
                <w:rFonts w:ascii="楷体" w:hAnsi="楷体" w:eastAsia="楷体"/>
                <w:szCs w:val="21"/>
                <w:u w:val="single"/>
              </w:rPr>
            </w:pPr>
            <w:permStart w:id="20" w:edGrp="everyone"/>
            <w:r>
              <w:rPr>
                <w:rFonts w:hint="eastAsia" w:ascii="楷体_GB2312" w:hAnsi="Times New Roman" w:eastAsia="楷体_GB2312" w:cs="Times New Roman"/>
                <w:szCs w:val="21"/>
              </w:rPr>
              <w:sym w:font="Wingdings" w:char="F06F"/>
            </w:r>
            <w:permEnd w:id="20"/>
            <w:r>
              <w:rPr>
                <w:rFonts w:hint="eastAsia" w:ascii="楷体" w:hAnsi="楷体" w:eastAsia="楷体"/>
                <w:szCs w:val="21"/>
              </w:rPr>
              <w:t>银联贷记卡小额交易</w:t>
            </w:r>
            <w:permStart w:id="21" w:edGrp="everyone"/>
            <w:r>
              <w:rPr>
                <w:rFonts w:ascii="楷体" w:hAnsi="楷体" w:eastAsia="楷体"/>
                <w:szCs w:val="21"/>
                <w:u w:val="single"/>
              </w:rPr>
              <w:t xml:space="preserve">    </w:t>
            </w:r>
            <w:permEnd w:id="21"/>
          </w:p>
        </w:tc>
        <w:tc>
          <w:tcPr>
            <w:tcW w:w="1643" w:type="pct"/>
            <w:gridSpan w:val="2"/>
            <w:tcBorders>
              <w:left w:val="single" w:color="auto" w:sz="4" w:space="0"/>
            </w:tcBorders>
            <w:vAlign w:val="center"/>
          </w:tcPr>
          <w:p>
            <w:pPr>
              <w:rPr>
                <w:rFonts w:ascii="楷体" w:hAnsi="楷体" w:eastAsia="楷体"/>
                <w:szCs w:val="21"/>
                <w:u w:val="single"/>
              </w:rPr>
            </w:pPr>
            <w:permStart w:id="22" w:edGrp="everyone"/>
            <w:r>
              <w:rPr>
                <w:rFonts w:hint="eastAsia" w:ascii="楷体_GB2312" w:hAnsi="Times New Roman" w:eastAsia="楷体_GB2312" w:cs="Times New Roman"/>
                <w:szCs w:val="21"/>
              </w:rPr>
              <w:sym w:font="Wingdings" w:char="F06F"/>
            </w:r>
            <w:permEnd w:id="22"/>
            <w:r>
              <w:rPr>
                <w:rFonts w:hint="eastAsia" w:ascii="楷体" w:hAnsi="楷体" w:eastAsia="楷体"/>
                <w:szCs w:val="21"/>
              </w:rPr>
              <w:t>银联贷记卡大额交易</w:t>
            </w:r>
            <w:permStart w:id="23" w:edGrp="everyone"/>
            <w:r>
              <w:rPr>
                <w:rFonts w:ascii="楷体" w:hAnsi="楷体" w:eastAsia="楷体"/>
                <w:szCs w:val="21"/>
                <w:u w:val="single"/>
              </w:rPr>
              <w:t xml:space="preserve">    </w:t>
            </w:r>
            <w:permEnd w:id="23"/>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76" w:hRule="atLeast"/>
          <w:jc w:val="center"/>
        </w:trPr>
        <w:tc>
          <w:tcPr>
            <w:tcW w:w="306" w:type="pct"/>
            <w:vMerge w:val="continue"/>
            <w:vAlign w:val="center"/>
          </w:tcPr>
          <w:p>
            <w:pPr>
              <w:jc w:val="center"/>
              <w:rPr>
                <w:rFonts w:ascii="楷体" w:hAnsi="楷体" w:eastAsia="楷体"/>
                <w:szCs w:val="21"/>
              </w:rPr>
            </w:pPr>
          </w:p>
        </w:tc>
        <w:tc>
          <w:tcPr>
            <w:tcW w:w="437" w:type="pct"/>
            <w:vMerge w:val="continue"/>
            <w:vAlign w:val="center"/>
          </w:tcPr>
          <w:p>
            <w:pPr>
              <w:jc w:val="center"/>
              <w:rPr>
                <w:rFonts w:ascii="楷体" w:hAnsi="楷体" w:eastAsia="楷体"/>
                <w:szCs w:val="21"/>
              </w:rPr>
            </w:pPr>
          </w:p>
        </w:tc>
        <w:tc>
          <w:tcPr>
            <w:tcW w:w="445" w:type="pct"/>
            <w:vMerge w:val="continue"/>
            <w:vAlign w:val="center"/>
          </w:tcPr>
          <w:p>
            <w:pPr>
              <w:jc w:val="center"/>
              <w:rPr>
                <w:rFonts w:ascii="楷体" w:hAnsi="楷体" w:eastAsia="楷体"/>
                <w:szCs w:val="21"/>
                <w:u w:val="single"/>
              </w:rPr>
            </w:pPr>
          </w:p>
        </w:tc>
        <w:tc>
          <w:tcPr>
            <w:tcW w:w="846" w:type="pct"/>
            <w:vMerge w:val="continue"/>
            <w:tcBorders>
              <w:right w:val="single" w:color="auto" w:sz="4" w:space="0"/>
            </w:tcBorders>
            <w:vAlign w:val="center"/>
          </w:tcPr>
          <w:p>
            <w:pPr>
              <w:jc w:val="left"/>
              <w:rPr>
                <w:rFonts w:ascii="楷体" w:hAnsi="楷体" w:eastAsia="楷体"/>
                <w:szCs w:val="21"/>
              </w:rPr>
            </w:pPr>
          </w:p>
        </w:tc>
        <w:tc>
          <w:tcPr>
            <w:tcW w:w="1323" w:type="pct"/>
            <w:gridSpan w:val="3"/>
            <w:tcBorders>
              <w:left w:val="single" w:color="auto" w:sz="4" w:space="0"/>
            </w:tcBorders>
            <w:vAlign w:val="center"/>
          </w:tcPr>
          <w:p>
            <w:pPr>
              <w:rPr>
                <w:rFonts w:ascii="楷体_GB2312" w:hAnsi="Times New Roman" w:eastAsia="楷体_GB2312" w:cs="Times New Roman"/>
                <w:szCs w:val="21"/>
              </w:rPr>
            </w:pPr>
            <w:permStart w:id="24" w:edGrp="everyone"/>
            <w:r>
              <w:rPr>
                <w:rFonts w:hint="eastAsia" w:ascii="楷体_GB2312" w:hAnsi="Times New Roman" w:eastAsia="楷体_GB2312" w:cs="Times New Roman"/>
                <w:szCs w:val="21"/>
              </w:rPr>
              <w:sym w:font="Wingdings" w:char="F06F"/>
            </w:r>
            <w:permEnd w:id="24"/>
            <w:r>
              <w:rPr>
                <w:rFonts w:hint="eastAsia" w:ascii="楷体" w:hAnsi="楷体" w:eastAsia="楷体"/>
                <w:szCs w:val="21"/>
              </w:rPr>
              <w:t>银联借记卡小额交易</w:t>
            </w:r>
            <w:permStart w:id="25" w:edGrp="everyone"/>
            <w:r>
              <w:rPr>
                <w:rFonts w:ascii="楷体" w:hAnsi="楷体" w:eastAsia="楷体"/>
                <w:szCs w:val="21"/>
                <w:u w:val="single"/>
              </w:rPr>
              <w:t xml:space="preserve">    </w:t>
            </w:r>
            <w:permEnd w:id="25"/>
          </w:p>
        </w:tc>
        <w:tc>
          <w:tcPr>
            <w:tcW w:w="1643" w:type="pct"/>
            <w:gridSpan w:val="2"/>
            <w:tcBorders>
              <w:left w:val="single" w:color="auto" w:sz="4" w:space="0"/>
            </w:tcBorders>
            <w:vAlign w:val="center"/>
          </w:tcPr>
          <w:p>
            <w:pPr>
              <w:rPr>
                <w:rFonts w:ascii="楷体" w:hAnsi="楷体" w:eastAsia="楷体"/>
                <w:szCs w:val="21"/>
              </w:rPr>
            </w:pPr>
            <w:permStart w:id="26" w:edGrp="everyone"/>
            <w:r>
              <w:rPr>
                <w:rFonts w:hint="eastAsia" w:ascii="楷体_GB2312" w:hAnsi="Times New Roman" w:eastAsia="楷体_GB2312" w:cs="Times New Roman"/>
                <w:szCs w:val="21"/>
              </w:rPr>
              <w:sym w:font="Wingdings" w:char="F06F"/>
            </w:r>
            <w:permEnd w:id="26"/>
            <w:r>
              <w:rPr>
                <w:rFonts w:hint="eastAsia" w:ascii="楷体" w:hAnsi="楷体" w:eastAsia="楷体"/>
                <w:szCs w:val="21"/>
              </w:rPr>
              <w:t>银联借记卡大额交易</w:t>
            </w:r>
            <w:permStart w:id="27" w:edGrp="everyone"/>
            <w:r>
              <w:rPr>
                <w:rFonts w:ascii="楷体" w:hAnsi="楷体" w:eastAsia="楷体"/>
                <w:szCs w:val="21"/>
                <w:u w:val="single"/>
              </w:rPr>
              <w:t xml:space="preserve">    </w:t>
            </w:r>
            <w:permEnd w:id="27"/>
            <w:r>
              <w:rPr>
                <w:rFonts w:hint="eastAsia" w:ascii="楷体" w:hAnsi="楷体" w:eastAsia="楷体"/>
                <w:szCs w:val="21"/>
              </w:rPr>
              <w:t>，</w:t>
            </w:r>
          </w:p>
          <w:p>
            <w:pPr>
              <w:rPr>
                <w:rFonts w:ascii="楷体_GB2312" w:hAnsi="Times New Roman" w:eastAsia="楷体_GB2312" w:cs="Times New Roman"/>
                <w:szCs w:val="21"/>
              </w:rPr>
            </w:pPr>
            <w:r>
              <w:rPr>
                <w:rFonts w:hint="eastAsia" w:ascii="楷体" w:hAnsi="楷体" w:eastAsia="楷体"/>
                <w:szCs w:val="21"/>
              </w:rPr>
              <w:t>（每笔</w:t>
            </w:r>
            <w:permStart w:id="28" w:edGrp="everyone"/>
            <w:r>
              <w:rPr>
                <w:rFonts w:ascii="楷体" w:hAnsi="楷体" w:eastAsia="楷体"/>
                <w:szCs w:val="21"/>
                <w:u w:val="single"/>
              </w:rPr>
              <w:t xml:space="preserve">     </w:t>
            </w:r>
            <w:permEnd w:id="28"/>
            <w:r>
              <w:rPr>
                <w:rFonts w:hint="eastAsia" w:ascii="楷体" w:hAnsi="楷体" w:eastAsia="楷体"/>
                <w:szCs w:val="21"/>
              </w:rPr>
              <w:t>元封顶）</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 w:hRule="atLeast"/>
          <w:jc w:val="center"/>
        </w:trPr>
        <w:tc>
          <w:tcPr>
            <w:tcW w:w="306" w:type="pct"/>
            <w:vMerge w:val="continue"/>
            <w:vAlign w:val="center"/>
          </w:tcPr>
          <w:p>
            <w:pPr>
              <w:jc w:val="center"/>
              <w:rPr>
                <w:rFonts w:ascii="楷体" w:hAnsi="楷体" w:eastAsia="楷体"/>
                <w:szCs w:val="21"/>
              </w:rPr>
            </w:pPr>
          </w:p>
        </w:tc>
        <w:tc>
          <w:tcPr>
            <w:tcW w:w="437" w:type="pct"/>
            <w:vMerge w:val="continue"/>
            <w:vAlign w:val="center"/>
          </w:tcPr>
          <w:p>
            <w:pPr>
              <w:jc w:val="center"/>
              <w:rPr>
                <w:rFonts w:ascii="楷体" w:hAnsi="楷体" w:eastAsia="楷体"/>
                <w:szCs w:val="21"/>
              </w:rPr>
            </w:pPr>
          </w:p>
        </w:tc>
        <w:tc>
          <w:tcPr>
            <w:tcW w:w="445" w:type="pct"/>
            <w:vMerge w:val="continue"/>
            <w:vAlign w:val="center"/>
          </w:tcPr>
          <w:p>
            <w:pPr>
              <w:jc w:val="center"/>
              <w:rPr>
                <w:rFonts w:ascii="楷体" w:hAnsi="楷体" w:eastAsia="楷体"/>
                <w:szCs w:val="21"/>
                <w:u w:val="single"/>
              </w:rPr>
            </w:pPr>
          </w:p>
        </w:tc>
        <w:tc>
          <w:tcPr>
            <w:tcW w:w="846" w:type="pct"/>
            <w:vMerge w:val="continue"/>
            <w:tcBorders>
              <w:right w:val="single" w:color="auto" w:sz="4" w:space="0"/>
            </w:tcBorders>
            <w:vAlign w:val="center"/>
          </w:tcPr>
          <w:p>
            <w:pPr>
              <w:jc w:val="left"/>
              <w:rPr>
                <w:rFonts w:ascii="楷体" w:hAnsi="楷体" w:eastAsia="楷体"/>
                <w:szCs w:val="21"/>
              </w:rPr>
            </w:pPr>
          </w:p>
        </w:tc>
        <w:tc>
          <w:tcPr>
            <w:tcW w:w="2966" w:type="pct"/>
            <w:gridSpan w:val="5"/>
            <w:tcBorders>
              <w:left w:val="single" w:color="auto" w:sz="4" w:space="0"/>
            </w:tcBorders>
            <w:vAlign w:val="center"/>
          </w:tcPr>
          <w:p>
            <w:pPr>
              <w:rPr>
                <w:rFonts w:ascii="楷体_GB2312" w:hAnsi="Times New Roman" w:eastAsia="楷体_GB2312" w:cs="Times New Roman"/>
                <w:szCs w:val="21"/>
              </w:rPr>
            </w:pPr>
            <w:permStart w:id="29" w:edGrp="everyone"/>
            <w:r>
              <w:rPr>
                <w:rFonts w:hint="eastAsia" w:ascii="楷体_GB2312" w:hAnsi="Times New Roman" w:eastAsia="楷体_GB2312" w:cs="Times New Roman"/>
                <w:szCs w:val="21"/>
              </w:rPr>
              <w:sym w:font="Wingdings" w:char="00FE"/>
            </w:r>
            <w:permEnd w:id="29"/>
            <w:r>
              <w:rPr>
                <w:rFonts w:hint="eastAsia" w:ascii="楷体" w:hAnsi="楷体" w:eastAsia="楷体"/>
                <w:szCs w:val="21"/>
              </w:rPr>
              <w:t>支付宝</w:t>
            </w:r>
            <w:permStart w:id="30" w:edGrp="everyone"/>
            <w:r>
              <w:rPr>
                <w:rFonts w:ascii="楷体" w:hAnsi="楷体" w:eastAsia="楷体"/>
                <w:szCs w:val="21"/>
                <w:u w:val="single"/>
              </w:rPr>
              <w:t xml:space="preserve">  </w:t>
            </w:r>
            <w:r>
              <w:rPr>
                <w:rFonts w:hint="eastAsia" w:ascii="楷体" w:hAnsi="楷体" w:eastAsia="楷体"/>
                <w:szCs w:val="21"/>
                <w:u w:val="single"/>
                <w:lang w:val="en-US" w:eastAsia="zh-CN"/>
              </w:rPr>
              <w:t>0.38%</w:t>
            </w:r>
            <w:r>
              <w:rPr>
                <w:rFonts w:ascii="楷体" w:hAnsi="楷体" w:eastAsia="楷体"/>
                <w:szCs w:val="21"/>
                <w:u w:val="single"/>
              </w:rPr>
              <w:t xml:space="preserve">   </w:t>
            </w:r>
            <w:permEnd w:id="30"/>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306" w:type="pct"/>
            <w:vMerge w:val="continue"/>
            <w:vAlign w:val="center"/>
          </w:tcPr>
          <w:p>
            <w:pPr>
              <w:jc w:val="center"/>
              <w:rPr>
                <w:rFonts w:ascii="楷体" w:hAnsi="楷体" w:eastAsia="楷体"/>
                <w:szCs w:val="21"/>
              </w:rPr>
            </w:pPr>
          </w:p>
        </w:tc>
        <w:tc>
          <w:tcPr>
            <w:tcW w:w="437" w:type="pct"/>
            <w:vMerge w:val="continue"/>
            <w:vAlign w:val="center"/>
          </w:tcPr>
          <w:p>
            <w:pPr>
              <w:jc w:val="center"/>
              <w:rPr>
                <w:rFonts w:ascii="楷体" w:hAnsi="楷体" w:eastAsia="楷体"/>
                <w:szCs w:val="21"/>
              </w:rPr>
            </w:pPr>
          </w:p>
        </w:tc>
        <w:tc>
          <w:tcPr>
            <w:tcW w:w="445" w:type="pct"/>
            <w:vMerge w:val="continue"/>
            <w:vAlign w:val="center"/>
          </w:tcPr>
          <w:p>
            <w:pPr>
              <w:jc w:val="center"/>
              <w:rPr>
                <w:rFonts w:ascii="楷体" w:hAnsi="楷体" w:eastAsia="楷体"/>
                <w:szCs w:val="21"/>
                <w:u w:val="single"/>
              </w:rPr>
            </w:pPr>
          </w:p>
        </w:tc>
        <w:tc>
          <w:tcPr>
            <w:tcW w:w="846" w:type="pct"/>
            <w:tcBorders>
              <w:right w:val="single" w:color="auto" w:sz="4" w:space="0"/>
            </w:tcBorders>
            <w:vAlign w:val="center"/>
          </w:tcPr>
          <w:p>
            <w:pPr>
              <w:jc w:val="left"/>
              <w:rPr>
                <w:rFonts w:ascii="楷体" w:hAnsi="楷体" w:eastAsia="楷体"/>
                <w:szCs w:val="21"/>
              </w:rPr>
            </w:pPr>
            <w:r>
              <w:rPr>
                <w:rFonts w:hint="eastAsia" w:ascii="楷体" w:hAnsi="楷体" w:eastAsia="楷体"/>
                <w:szCs w:val="21"/>
              </w:rPr>
              <w:t>条码支付</w:t>
            </w:r>
          </w:p>
        </w:tc>
        <w:tc>
          <w:tcPr>
            <w:tcW w:w="2966" w:type="pct"/>
            <w:gridSpan w:val="5"/>
            <w:vMerge w:val="restart"/>
            <w:tcBorders>
              <w:left w:val="single" w:color="auto" w:sz="4" w:space="0"/>
            </w:tcBorders>
            <w:vAlign w:val="center"/>
          </w:tcPr>
          <w:p>
            <w:pPr>
              <w:rPr>
                <w:rFonts w:ascii="楷体_GB2312" w:hAnsi="Times New Roman" w:eastAsia="楷体_GB2312" w:cs="Times New Roman"/>
                <w:szCs w:val="21"/>
              </w:rPr>
            </w:pPr>
            <w:permStart w:id="31" w:edGrp="everyone"/>
            <w:r>
              <w:rPr>
                <w:rFonts w:hint="eastAsia" w:ascii="楷体_GB2312" w:hAnsi="Times New Roman" w:eastAsia="楷体_GB2312" w:cs="Times New Roman"/>
                <w:szCs w:val="21"/>
              </w:rPr>
              <w:sym w:font="Wingdings" w:char="00FE"/>
            </w:r>
            <w:permEnd w:id="31"/>
            <w:r>
              <w:rPr>
                <w:rFonts w:hint="eastAsia" w:ascii="楷体" w:hAnsi="楷体" w:eastAsia="楷体"/>
                <w:szCs w:val="21"/>
              </w:rPr>
              <w:t>微信</w:t>
            </w:r>
            <w:permStart w:id="32" w:edGrp="everyone"/>
            <w:r>
              <w:rPr>
                <w:rFonts w:ascii="楷体" w:hAnsi="楷体" w:eastAsia="楷体"/>
                <w:szCs w:val="21"/>
                <w:u w:val="single"/>
              </w:rPr>
              <w:t xml:space="preserve">  </w:t>
            </w:r>
            <w:r>
              <w:rPr>
                <w:rFonts w:hint="eastAsia" w:ascii="楷体" w:hAnsi="楷体" w:eastAsia="楷体"/>
                <w:szCs w:val="21"/>
                <w:u w:val="single"/>
                <w:lang w:val="en-US" w:eastAsia="zh-CN"/>
              </w:rPr>
              <w:t>0.38%</w:t>
            </w:r>
            <w:r>
              <w:rPr>
                <w:rFonts w:ascii="楷体" w:hAnsi="楷体" w:eastAsia="楷体"/>
                <w:szCs w:val="21"/>
                <w:u w:val="single"/>
              </w:rPr>
              <w:t xml:space="preserve">   </w:t>
            </w:r>
            <w:permEnd w:id="32"/>
            <w:r>
              <w:rPr>
                <w:rFonts w:hint="eastAsia" w:ascii="楷体" w:hAnsi="楷体" w:eastAsia="楷体"/>
                <w:szCs w:val="21"/>
              </w:rPr>
              <w:t>（</w:t>
            </w:r>
            <w:permStart w:id="33" w:edGrp="everyone"/>
            <w:bookmarkStart w:id="1" w:name="_GoBack"/>
            <w:bookmarkEnd w:id="1"/>
            <w:r>
              <w:rPr>
                <w:rFonts w:hint="eastAsia" w:ascii="楷体_GB2312" w:hAnsi="Times New Roman" w:eastAsia="楷体_GB2312" w:cs="Times New Roman"/>
                <w:szCs w:val="21"/>
              </w:rPr>
              <w:sym w:font="Wingdings" w:char="00FE"/>
            </w:r>
            <w:permEnd w:id="33"/>
            <w:r>
              <w:rPr>
                <w:rFonts w:hint="eastAsia" w:ascii="楷体_GB2312" w:hAnsi="Times New Roman" w:eastAsia="楷体_GB2312" w:cs="Times New Roman"/>
                <w:szCs w:val="21"/>
              </w:rPr>
              <w:t>普通</w:t>
            </w:r>
            <w:permStart w:id="34" w:edGrp="everyone"/>
            <w:r>
              <w:rPr>
                <w:rFonts w:hint="eastAsia" w:ascii="楷体_GB2312" w:hAnsi="Times New Roman" w:eastAsia="楷体_GB2312" w:cs="Times New Roman"/>
                <w:szCs w:val="21"/>
              </w:rPr>
              <w:sym w:font="Wingdings" w:char="F06F"/>
            </w:r>
            <w:permEnd w:id="34"/>
            <w:r>
              <w:rPr>
                <w:rFonts w:hint="eastAsia" w:ascii="楷体_GB2312" w:hAnsi="Times New Roman" w:eastAsia="楷体_GB2312" w:cs="Times New Roman"/>
                <w:szCs w:val="21"/>
              </w:rPr>
              <w:t>教培</w:t>
            </w:r>
            <w:permStart w:id="35" w:edGrp="everyone"/>
            <w:r>
              <w:rPr>
                <w:rFonts w:hint="eastAsia" w:ascii="楷体_GB2312" w:hAnsi="Times New Roman" w:eastAsia="楷体_GB2312" w:cs="Times New Roman"/>
                <w:szCs w:val="21"/>
              </w:rPr>
              <w:sym w:font="Wingdings" w:char="F06F"/>
            </w:r>
            <w:permEnd w:id="35"/>
            <w:r>
              <w:rPr>
                <w:rFonts w:hint="eastAsia" w:ascii="楷体_GB2312" w:hAnsi="Times New Roman" w:eastAsia="楷体_GB2312" w:cs="Times New Roman"/>
                <w:szCs w:val="21"/>
              </w:rPr>
              <w:t>校园食堂</w:t>
            </w:r>
            <w:permStart w:id="36" w:edGrp="everyone"/>
            <w:r>
              <w:rPr>
                <w:rFonts w:hint="eastAsia" w:ascii="楷体_GB2312" w:hAnsi="Times New Roman" w:eastAsia="楷体_GB2312" w:cs="Times New Roman"/>
                <w:szCs w:val="21"/>
              </w:rPr>
              <w:sym w:font="Wingdings" w:char="F06F"/>
            </w:r>
            <w:permEnd w:id="36"/>
            <w:r>
              <w:rPr>
                <w:rFonts w:hint="eastAsia" w:ascii="楷体_GB2312" w:hAnsi="Times New Roman" w:eastAsia="楷体_GB2312" w:cs="Times New Roman"/>
                <w:szCs w:val="21"/>
              </w:rPr>
              <w:t>公办学校</w:t>
            </w:r>
            <w:permStart w:id="37" w:edGrp="everyone"/>
            <w:r>
              <w:rPr>
                <w:rFonts w:hint="eastAsia" w:ascii="楷体_GB2312" w:hAnsi="Times New Roman" w:eastAsia="楷体_GB2312" w:cs="Times New Roman"/>
                <w:szCs w:val="21"/>
              </w:rPr>
              <w:sym w:font="Wingdings" w:char="F06F"/>
            </w:r>
            <w:permEnd w:id="37"/>
            <w:r>
              <w:rPr>
                <w:rFonts w:hint="eastAsia" w:ascii="楷体_GB2312" w:hAnsi="Times New Roman" w:eastAsia="楷体_GB2312" w:cs="Times New Roman"/>
                <w:szCs w:val="21"/>
              </w:rPr>
              <w:t>民办学校</w:t>
            </w:r>
            <w:r>
              <w:rPr>
                <w:rFonts w:hint="eastAsia" w:ascii="楷体" w:hAnsi="楷体" w:eastAsia="楷体"/>
                <w:szCs w:val="21"/>
              </w:rPr>
              <w:t>）</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11" w:hRule="atLeast"/>
          <w:jc w:val="center"/>
        </w:trPr>
        <w:tc>
          <w:tcPr>
            <w:tcW w:w="306" w:type="pct"/>
            <w:vMerge w:val="continue"/>
            <w:vAlign w:val="center"/>
          </w:tcPr>
          <w:p>
            <w:pPr>
              <w:jc w:val="center"/>
              <w:rPr>
                <w:rFonts w:ascii="楷体" w:hAnsi="楷体" w:eastAsia="楷体"/>
                <w:szCs w:val="21"/>
              </w:rPr>
            </w:pPr>
          </w:p>
        </w:tc>
        <w:tc>
          <w:tcPr>
            <w:tcW w:w="437" w:type="pct"/>
            <w:vMerge w:val="continue"/>
            <w:vAlign w:val="center"/>
          </w:tcPr>
          <w:p>
            <w:pPr>
              <w:jc w:val="center"/>
              <w:rPr>
                <w:rFonts w:ascii="楷体" w:hAnsi="楷体" w:eastAsia="楷体"/>
                <w:szCs w:val="21"/>
              </w:rPr>
            </w:pPr>
          </w:p>
        </w:tc>
        <w:tc>
          <w:tcPr>
            <w:tcW w:w="445" w:type="pct"/>
            <w:vMerge w:val="continue"/>
            <w:vAlign w:val="center"/>
          </w:tcPr>
          <w:p>
            <w:pPr>
              <w:jc w:val="center"/>
              <w:rPr>
                <w:rFonts w:ascii="楷体" w:hAnsi="楷体" w:eastAsia="楷体"/>
                <w:szCs w:val="21"/>
                <w:u w:val="single"/>
              </w:rPr>
            </w:pPr>
          </w:p>
        </w:tc>
        <w:tc>
          <w:tcPr>
            <w:tcW w:w="846" w:type="pct"/>
            <w:tcBorders>
              <w:right w:val="single" w:color="auto" w:sz="4" w:space="0"/>
            </w:tcBorders>
            <w:vAlign w:val="center"/>
          </w:tcPr>
          <w:p>
            <w:pPr>
              <w:jc w:val="left"/>
              <w:rPr>
                <w:rFonts w:ascii="楷体" w:hAnsi="楷体" w:eastAsia="楷体"/>
                <w:szCs w:val="21"/>
              </w:rPr>
            </w:pPr>
            <w:r>
              <w:rPr>
                <w:rFonts w:ascii="楷体" w:hAnsi="楷体" w:eastAsia="楷体"/>
                <w:szCs w:val="21"/>
              </w:rPr>
              <w:t>公众号支付</w:t>
            </w:r>
          </w:p>
        </w:tc>
        <w:tc>
          <w:tcPr>
            <w:tcW w:w="2966" w:type="pct"/>
            <w:gridSpan w:val="5"/>
            <w:vMerge w:val="continue"/>
            <w:tcBorders>
              <w:left w:val="single" w:color="auto" w:sz="4" w:space="0"/>
            </w:tcBorders>
            <w:vAlign w:val="center"/>
          </w:tcPr>
          <w:p>
            <w:pPr>
              <w:rPr>
                <w:rFonts w:ascii="楷体_GB2312" w:hAnsi="Times New Roman" w:eastAsia="楷体_GB2312"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11" w:hRule="atLeast"/>
          <w:jc w:val="center"/>
        </w:trPr>
        <w:tc>
          <w:tcPr>
            <w:tcW w:w="306" w:type="pct"/>
            <w:vMerge w:val="continue"/>
            <w:vAlign w:val="center"/>
          </w:tcPr>
          <w:p>
            <w:pPr>
              <w:jc w:val="center"/>
              <w:rPr>
                <w:rFonts w:ascii="楷体" w:hAnsi="楷体" w:eastAsia="楷体"/>
                <w:szCs w:val="21"/>
              </w:rPr>
            </w:pPr>
          </w:p>
        </w:tc>
        <w:tc>
          <w:tcPr>
            <w:tcW w:w="437" w:type="pct"/>
            <w:vMerge w:val="continue"/>
            <w:vAlign w:val="center"/>
          </w:tcPr>
          <w:p>
            <w:pPr>
              <w:jc w:val="center"/>
              <w:rPr>
                <w:rFonts w:ascii="楷体" w:hAnsi="楷体" w:eastAsia="楷体"/>
                <w:szCs w:val="21"/>
              </w:rPr>
            </w:pPr>
          </w:p>
        </w:tc>
        <w:tc>
          <w:tcPr>
            <w:tcW w:w="445" w:type="pct"/>
            <w:vMerge w:val="continue"/>
            <w:vAlign w:val="center"/>
          </w:tcPr>
          <w:p>
            <w:pPr>
              <w:jc w:val="center"/>
              <w:rPr>
                <w:rFonts w:ascii="楷体" w:hAnsi="楷体" w:eastAsia="楷体"/>
                <w:szCs w:val="21"/>
                <w:u w:val="single"/>
              </w:rPr>
            </w:pPr>
          </w:p>
        </w:tc>
        <w:tc>
          <w:tcPr>
            <w:tcW w:w="846" w:type="pct"/>
            <w:tcBorders>
              <w:right w:val="single" w:color="auto" w:sz="4" w:space="0"/>
            </w:tcBorders>
            <w:vAlign w:val="center"/>
          </w:tcPr>
          <w:p>
            <w:pPr>
              <w:jc w:val="left"/>
              <w:rPr>
                <w:rFonts w:ascii="楷体" w:hAnsi="楷体" w:eastAsia="楷体"/>
                <w:szCs w:val="21"/>
              </w:rPr>
            </w:pPr>
            <w:r>
              <w:rPr>
                <w:rFonts w:ascii="楷体" w:hAnsi="楷体" w:eastAsia="楷体"/>
                <w:szCs w:val="21"/>
              </w:rPr>
              <w:t>小程序支付</w:t>
            </w:r>
          </w:p>
        </w:tc>
        <w:tc>
          <w:tcPr>
            <w:tcW w:w="2966" w:type="pct"/>
            <w:gridSpan w:val="5"/>
            <w:vMerge w:val="continue"/>
            <w:tcBorders>
              <w:left w:val="single" w:color="auto" w:sz="4" w:space="0"/>
            </w:tcBorders>
            <w:vAlign w:val="center"/>
          </w:tcPr>
          <w:p>
            <w:pPr>
              <w:rPr>
                <w:rFonts w:ascii="楷体_GB2312" w:hAnsi="Times New Roman" w:eastAsia="楷体_GB2312"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11" w:hRule="atLeast"/>
          <w:jc w:val="center"/>
        </w:trPr>
        <w:tc>
          <w:tcPr>
            <w:tcW w:w="306" w:type="pct"/>
            <w:vMerge w:val="continue"/>
            <w:vAlign w:val="center"/>
          </w:tcPr>
          <w:p>
            <w:pPr>
              <w:jc w:val="center"/>
              <w:rPr>
                <w:rFonts w:ascii="楷体" w:hAnsi="楷体" w:eastAsia="楷体"/>
                <w:szCs w:val="21"/>
              </w:rPr>
            </w:pPr>
          </w:p>
        </w:tc>
        <w:tc>
          <w:tcPr>
            <w:tcW w:w="437" w:type="pct"/>
            <w:vMerge w:val="continue"/>
            <w:vAlign w:val="center"/>
          </w:tcPr>
          <w:p>
            <w:pPr>
              <w:jc w:val="center"/>
              <w:rPr>
                <w:rFonts w:ascii="楷体" w:hAnsi="楷体" w:eastAsia="楷体"/>
                <w:szCs w:val="21"/>
              </w:rPr>
            </w:pPr>
          </w:p>
        </w:tc>
        <w:tc>
          <w:tcPr>
            <w:tcW w:w="445" w:type="pct"/>
            <w:vMerge w:val="continue"/>
            <w:vAlign w:val="center"/>
          </w:tcPr>
          <w:p>
            <w:pPr>
              <w:jc w:val="center"/>
              <w:rPr>
                <w:rFonts w:ascii="楷体" w:hAnsi="楷体" w:eastAsia="楷体"/>
                <w:szCs w:val="21"/>
                <w:u w:val="single"/>
              </w:rPr>
            </w:pPr>
          </w:p>
        </w:tc>
        <w:tc>
          <w:tcPr>
            <w:tcW w:w="846" w:type="pct"/>
            <w:tcBorders>
              <w:right w:val="single" w:color="auto" w:sz="4" w:space="0"/>
            </w:tcBorders>
            <w:vAlign w:val="center"/>
          </w:tcPr>
          <w:p>
            <w:pPr>
              <w:jc w:val="left"/>
              <w:rPr>
                <w:rFonts w:ascii="楷体" w:hAnsi="楷体" w:eastAsia="楷体"/>
                <w:szCs w:val="21"/>
              </w:rPr>
            </w:pPr>
            <w:r>
              <w:rPr>
                <w:rFonts w:hint="eastAsia" w:ascii="楷体" w:hAnsi="楷体" w:eastAsia="楷体"/>
                <w:szCs w:val="21"/>
              </w:rPr>
              <w:t>APP唤醒支付</w:t>
            </w:r>
          </w:p>
        </w:tc>
        <w:tc>
          <w:tcPr>
            <w:tcW w:w="2966" w:type="pct"/>
            <w:gridSpan w:val="5"/>
            <w:vMerge w:val="continue"/>
            <w:tcBorders>
              <w:left w:val="single" w:color="auto" w:sz="4" w:space="0"/>
            </w:tcBorders>
            <w:vAlign w:val="center"/>
          </w:tcPr>
          <w:p>
            <w:pPr>
              <w:rPr>
                <w:rFonts w:ascii="楷体_GB2312" w:hAnsi="Times New Roman" w:eastAsia="楷体_GB2312"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 w:hRule="atLeast"/>
          <w:jc w:val="center"/>
        </w:trPr>
        <w:tc>
          <w:tcPr>
            <w:tcW w:w="306" w:type="pct"/>
            <w:vMerge w:val="continue"/>
            <w:vAlign w:val="center"/>
          </w:tcPr>
          <w:p>
            <w:pPr>
              <w:jc w:val="center"/>
              <w:rPr>
                <w:rFonts w:ascii="楷体" w:hAnsi="楷体" w:eastAsia="楷体"/>
                <w:szCs w:val="21"/>
              </w:rPr>
            </w:pPr>
          </w:p>
        </w:tc>
        <w:tc>
          <w:tcPr>
            <w:tcW w:w="437" w:type="pct"/>
            <w:vMerge w:val="continue"/>
            <w:vAlign w:val="center"/>
          </w:tcPr>
          <w:p>
            <w:pPr>
              <w:jc w:val="center"/>
              <w:rPr>
                <w:rFonts w:ascii="楷体" w:hAnsi="楷体" w:eastAsia="楷体"/>
                <w:szCs w:val="21"/>
              </w:rPr>
            </w:pPr>
          </w:p>
        </w:tc>
        <w:tc>
          <w:tcPr>
            <w:tcW w:w="445" w:type="pct"/>
            <w:vMerge w:val="continue"/>
            <w:vAlign w:val="center"/>
          </w:tcPr>
          <w:p>
            <w:pPr>
              <w:jc w:val="center"/>
              <w:rPr>
                <w:rFonts w:ascii="楷体" w:hAnsi="楷体" w:eastAsia="楷体"/>
                <w:szCs w:val="21"/>
                <w:u w:val="single"/>
              </w:rPr>
            </w:pPr>
          </w:p>
        </w:tc>
        <w:tc>
          <w:tcPr>
            <w:tcW w:w="846" w:type="pct"/>
            <w:tcBorders>
              <w:right w:val="single" w:color="auto" w:sz="4" w:space="0"/>
            </w:tcBorders>
            <w:vAlign w:val="center"/>
          </w:tcPr>
          <w:p>
            <w:pPr>
              <w:jc w:val="left"/>
              <w:rPr>
                <w:rFonts w:ascii="楷体" w:hAnsi="楷体" w:eastAsia="楷体"/>
                <w:szCs w:val="21"/>
              </w:rPr>
            </w:pPr>
            <w:r>
              <w:rPr>
                <w:rFonts w:ascii="楷体" w:hAnsi="楷体" w:eastAsia="楷体"/>
                <w:szCs w:val="21"/>
              </w:rPr>
              <w:t>花呗分期</w:t>
            </w:r>
          </w:p>
        </w:tc>
        <w:tc>
          <w:tcPr>
            <w:tcW w:w="1323" w:type="pct"/>
            <w:gridSpan w:val="3"/>
            <w:tcBorders>
              <w:left w:val="single" w:color="auto" w:sz="4" w:space="0"/>
            </w:tcBorders>
          </w:tcPr>
          <w:p>
            <w:pPr>
              <w:rPr>
                <w:rFonts w:ascii="楷体_GB2312" w:hAnsi="Times New Roman" w:eastAsia="楷体_GB2312" w:cs="Times New Roman"/>
                <w:szCs w:val="21"/>
              </w:rPr>
            </w:pPr>
            <w:permStart w:id="38" w:edGrp="everyone"/>
            <w:r>
              <w:rPr>
                <w:rFonts w:hint="eastAsia" w:ascii="楷体_GB2312" w:hAnsi="Times New Roman" w:eastAsia="楷体_GB2312" w:cs="Times New Roman"/>
                <w:szCs w:val="21"/>
              </w:rPr>
              <w:sym w:font="Wingdings" w:char="00FE"/>
            </w:r>
            <w:permEnd w:id="38"/>
            <w:r>
              <w:rPr>
                <w:rFonts w:hint="eastAsia" w:ascii="楷体" w:hAnsi="楷体" w:eastAsia="楷体"/>
                <w:szCs w:val="21"/>
              </w:rPr>
              <w:t>手续费</w:t>
            </w:r>
            <w:permStart w:id="39" w:edGrp="everyone"/>
            <w:r>
              <w:rPr>
                <w:rFonts w:ascii="楷体" w:hAnsi="楷体" w:eastAsia="楷体"/>
                <w:szCs w:val="21"/>
                <w:u w:val="single"/>
              </w:rPr>
              <w:t xml:space="preserve">  </w:t>
            </w:r>
            <w:r>
              <w:rPr>
                <w:rFonts w:hint="eastAsia" w:ascii="楷体" w:hAnsi="楷体" w:eastAsia="楷体"/>
                <w:szCs w:val="21"/>
                <w:u w:val="single"/>
                <w:lang w:val="en-US" w:eastAsia="zh-CN"/>
              </w:rPr>
              <w:t>0.38%</w:t>
            </w:r>
            <w:r>
              <w:rPr>
                <w:rFonts w:ascii="楷体" w:hAnsi="楷体" w:eastAsia="楷体"/>
                <w:szCs w:val="21"/>
                <w:u w:val="single"/>
              </w:rPr>
              <w:t xml:space="preserve">  </w:t>
            </w:r>
            <w:permEnd w:id="39"/>
          </w:p>
        </w:tc>
        <w:tc>
          <w:tcPr>
            <w:tcW w:w="1643" w:type="pct"/>
            <w:gridSpan w:val="2"/>
            <w:tcBorders>
              <w:left w:val="single" w:color="auto" w:sz="4" w:space="0"/>
            </w:tcBorders>
          </w:tcPr>
          <w:p>
            <w:pPr>
              <w:rPr>
                <w:rFonts w:ascii="楷体_GB2312" w:hAnsi="Times New Roman" w:eastAsia="楷体_GB2312" w:cs="Times New Roman"/>
                <w:szCs w:val="21"/>
              </w:rPr>
            </w:pPr>
            <w:permStart w:id="40" w:edGrp="everyone"/>
            <w:r>
              <w:rPr>
                <w:rFonts w:hint="eastAsia" w:ascii="楷体_GB2312" w:hAnsi="Times New Roman" w:eastAsia="楷体_GB2312" w:cs="Times New Roman"/>
                <w:szCs w:val="21"/>
              </w:rPr>
              <w:sym w:font="Wingdings" w:char="00FE"/>
            </w:r>
            <w:permEnd w:id="40"/>
            <w:r>
              <w:rPr>
                <w:rFonts w:hint="eastAsia" w:ascii="楷体" w:hAnsi="楷体" w:eastAsia="楷体"/>
                <w:szCs w:val="21"/>
              </w:rPr>
              <w:t>代偿模式服务费</w:t>
            </w:r>
            <w:permStart w:id="41" w:edGrp="everyone"/>
            <w:r>
              <w:rPr>
                <w:rFonts w:hint="eastAsia" w:ascii="楷体" w:hAnsi="楷体" w:eastAsia="楷体"/>
                <w:szCs w:val="21"/>
                <w:lang w:val="en-US" w:eastAsia="zh-CN"/>
              </w:rPr>
              <w:t xml:space="preserve"> </w:t>
            </w:r>
            <w:r>
              <w:rPr>
                <w:rFonts w:ascii="微软雅黑" w:hAnsi="微软雅黑" w:eastAsia="微软雅黑" w:cs="微软雅黑"/>
                <w:i w:val="0"/>
                <w:caps w:val="0"/>
                <w:color w:val="111F2C"/>
                <w:spacing w:val="0"/>
                <w:sz w:val="18"/>
                <w:szCs w:val="18"/>
                <w:shd w:val="clear" w:fill="FFFFFF"/>
              </w:rPr>
              <w:t>3期2.0%</w:t>
            </w:r>
            <w:r>
              <w:rPr>
                <w:rFonts w:hint="eastAsia" w:ascii="微软雅黑" w:hAnsi="微软雅黑" w:eastAsia="微软雅黑" w:cs="微软雅黑"/>
                <w:i w:val="0"/>
                <w:caps w:val="0"/>
                <w:color w:val="111F2C"/>
                <w:spacing w:val="0"/>
                <w:sz w:val="18"/>
                <w:szCs w:val="18"/>
                <w:shd w:val="clear" w:fill="FFFFFF"/>
                <w:lang w:eastAsia="zh-CN"/>
              </w:rPr>
              <w:t>，</w:t>
            </w:r>
            <w:r>
              <w:rPr>
                <w:rFonts w:ascii="微软雅黑" w:hAnsi="微软雅黑" w:eastAsia="微软雅黑" w:cs="微软雅黑"/>
                <w:i w:val="0"/>
                <w:caps w:val="0"/>
                <w:color w:val="111F2C"/>
                <w:spacing w:val="0"/>
                <w:sz w:val="18"/>
                <w:szCs w:val="18"/>
                <w:shd w:val="clear" w:fill="FFFFFF"/>
              </w:rPr>
              <w:t>6期</w:t>
            </w:r>
            <w:r>
              <w:rPr>
                <w:rFonts w:hint="eastAsia" w:ascii="微软雅黑" w:hAnsi="微软雅黑" w:eastAsia="微软雅黑" w:cs="微软雅黑"/>
                <w:i w:val="0"/>
                <w:caps w:val="0"/>
                <w:color w:val="111F2C"/>
                <w:spacing w:val="0"/>
                <w:sz w:val="18"/>
                <w:szCs w:val="18"/>
                <w:shd w:val="clear" w:fill="FFFFFF"/>
                <w:lang w:val="en-US" w:eastAsia="zh-CN"/>
              </w:rPr>
              <w:t xml:space="preserve"> </w:t>
            </w:r>
            <w:r>
              <w:rPr>
                <w:rFonts w:ascii="微软雅黑" w:hAnsi="微软雅黑" w:eastAsia="微软雅黑" w:cs="微软雅黑"/>
                <w:i w:val="0"/>
                <w:caps w:val="0"/>
                <w:color w:val="111F2C"/>
                <w:spacing w:val="0"/>
                <w:sz w:val="18"/>
                <w:szCs w:val="18"/>
                <w:shd w:val="clear" w:fill="FFFFFF"/>
              </w:rPr>
              <w:t>4.7%</w:t>
            </w:r>
            <w:r>
              <w:rPr>
                <w:rFonts w:hint="eastAsia" w:ascii="微软雅黑" w:hAnsi="微软雅黑" w:eastAsia="微软雅黑" w:cs="微软雅黑"/>
                <w:i w:val="0"/>
                <w:caps w:val="0"/>
                <w:color w:val="111F2C"/>
                <w:spacing w:val="0"/>
                <w:sz w:val="18"/>
                <w:szCs w:val="18"/>
                <w:shd w:val="clear" w:fill="FFFFFF"/>
                <w:lang w:eastAsia="zh-CN"/>
              </w:rPr>
              <w:t>，</w:t>
            </w:r>
            <w:r>
              <w:rPr>
                <w:rFonts w:ascii="微软雅黑" w:hAnsi="微软雅黑" w:eastAsia="微软雅黑" w:cs="微软雅黑"/>
                <w:i w:val="0"/>
                <w:caps w:val="0"/>
                <w:color w:val="111F2C"/>
                <w:spacing w:val="0"/>
                <w:sz w:val="18"/>
                <w:szCs w:val="18"/>
                <w:shd w:val="clear" w:fill="FFFFFF"/>
              </w:rPr>
              <w:t>12期</w:t>
            </w:r>
            <w:r>
              <w:rPr>
                <w:rFonts w:hint="eastAsia" w:ascii="微软雅黑" w:hAnsi="微软雅黑" w:eastAsia="微软雅黑" w:cs="微软雅黑"/>
                <w:i w:val="0"/>
                <w:caps w:val="0"/>
                <w:color w:val="111F2C"/>
                <w:spacing w:val="0"/>
                <w:sz w:val="18"/>
                <w:szCs w:val="18"/>
                <w:shd w:val="clear" w:fill="FFFFFF"/>
                <w:lang w:val="en-US" w:eastAsia="zh-CN"/>
              </w:rPr>
              <w:t xml:space="preserve"> </w:t>
            </w:r>
            <w:r>
              <w:rPr>
                <w:rFonts w:ascii="微软雅黑" w:hAnsi="微软雅黑" w:eastAsia="微软雅黑" w:cs="微软雅黑"/>
                <w:i w:val="0"/>
                <w:caps w:val="0"/>
                <w:color w:val="111F2C"/>
                <w:spacing w:val="0"/>
                <w:sz w:val="18"/>
                <w:szCs w:val="18"/>
                <w:shd w:val="clear" w:fill="FFFFFF"/>
              </w:rPr>
              <w:t>7.7%</w:t>
            </w:r>
            <w:r>
              <w:rPr>
                <w:rFonts w:hint="eastAsia" w:ascii="微软雅黑" w:hAnsi="微软雅黑" w:eastAsia="微软雅黑" w:cs="微软雅黑"/>
                <w:i w:val="0"/>
                <w:caps w:val="0"/>
                <w:color w:val="111F2C"/>
                <w:spacing w:val="0"/>
                <w:sz w:val="18"/>
                <w:szCs w:val="18"/>
                <w:shd w:val="clear" w:fill="FFFFFF"/>
                <w:lang w:val="en-US" w:eastAsia="zh-CN"/>
              </w:rPr>
              <w:t xml:space="preserve"> </w:t>
            </w:r>
            <w:permEnd w:id="41"/>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24" w:hRule="atLeast"/>
          <w:jc w:val="center"/>
        </w:trPr>
        <w:tc>
          <w:tcPr>
            <w:tcW w:w="306" w:type="pct"/>
            <w:vMerge w:val="continue"/>
            <w:vAlign w:val="center"/>
          </w:tcPr>
          <w:p>
            <w:pPr>
              <w:jc w:val="center"/>
              <w:rPr>
                <w:rFonts w:ascii="楷体" w:hAnsi="楷体" w:eastAsia="楷体"/>
                <w:szCs w:val="21"/>
              </w:rPr>
            </w:pPr>
          </w:p>
        </w:tc>
        <w:tc>
          <w:tcPr>
            <w:tcW w:w="437" w:type="pct"/>
            <w:vMerge w:val="continue"/>
            <w:vAlign w:val="center"/>
          </w:tcPr>
          <w:p>
            <w:pPr>
              <w:jc w:val="center"/>
              <w:rPr>
                <w:rFonts w:ascii="楷体" w:hAnsi="楷体" w:eastAsia="楷体"/>
                <w:szCs w:val="21"/>
              </w:rPr>
            </w:pPr>
          </w:p>
        </w:tc>
        <w:tc>
          <w:tcPr>
            <w:tcW w:w="445" w:type="pct"/>
            <w:vMerge w:val="restart"/>
            <w:vAlign w:val="center"/>
          </w:tcPr>
          <w:p>
            <w:pPr>
              <w:jc w:val="center"/>
              <w:rPr>
                <w:rFonts w:ascii="楷体" w:hAnsi="楷体" w:eastAsia="楷体"/>
                <w:szCs w:val="21"/>
              </w:rPr>
            </w:pPr>
            <w:r>
              <w:rPr>
                <w:rFonts w:hint="eastAsia" w:ascii="楷体" w:hAnsi="楷体" w:eastAsia="楷体"/>
                <w:szCs w:val="21"/>
              </w:rPr>
              <w:t>网络</w:t>
            </w:r>
          </w:p>
          <w:p>
            <w:pPr>
              <w:jc w:val="center"/>
              <w:rPr>
                <w:rFonts w:ascii="楷体" w:hAnsi="楷体" w:eastAsia="楷体"/>
                <w:szCs w:val="21"/>
              </w:rPr>
            </w:pPr>
            <w:r>
              <w:rPr>
                <w:rFonts w:hint="eastAsia" w:ascii="楷体" w:hAnsi="楷体" w:eastAsia="楷体"/>
                <w:szCs w:val="21"/>
              </w:rPr>
              <w:t>支付</w:t>
            </w:r>
          </w:p>
          <w:p>
            <w:pPr>
              <w:jc w:val="center"/>
              <w:rPr>
                <w:rFonts w:ascii="楷体" w:hAnsi="楷体" w:eastAsia="楷体"/>
                <w:szCs w:val="21"/>
              </w:rPr>
            </w:pPr>
            <w:r>
              <w:rPr>
                <w:rFonts w:hint="eastAsia" w:ascii="楷体" w:hAnsi="楷体" w:eastAsia="楷体"/>
                <w:szCs w:val="21"/>
              </w:rPr>
              <w:t>（</w:t>
            </w:r>
            <w:r>
              <w:rPr>
                <w:rFonts w:ascii="楷体" w:hAnsi="楷体" w:eastAsia="楷体"/>
                <w:szCs w:val="21"/>
              </w:rPr>
              <w:t>线上场景</w:t>
            </w:r>
            <w:r>
              <w:rPr>
                <w:rFonts w:hint="eastAsia" w:ascii="楷体" w:hAnsi="楷体" w:eastAsia="楷体"/>
                <w:szCs w:val="21"/>
              </w:rPr>
              <w:t>）</w:t>
            </w:r>
          </w:p>
        </w:tc>
        <w:tc>
          <w:tcPr>
            <w:tcW w:w="846" w:type="pct"/>
            <w:tcBorders>
              <w:right w:val="single" w:color="auto" w:sz="4" w:space="0"/>
            </w:tcBorders>
            <w:vAlign w:val="center"/>
          </w:tcPr>
          <w:p>
            <w:pPr>
              <w:jc w:val="left"/>
              <w:rPr>
                <w:rFonts w:ascii="楷体" w:hAnsi="楷体" w:eastAsia="楷体"/>
                <w:szCs w:val="21"/>
              </w:rPr>
            </w:pPr>
            <w:r>
              <w:rPr>
                <w:rFonts w:hint="eastAsia" w:ascii="楷体" w:hAnsi="楷体" w:eastAsia="楷体"/>
                <w:szCs w:val="21"/>
              </w:rPr>
              <w:t>条码支付</w:t>
            </w:r>
          </w:p>
        </w:tc>
        <w:tc>
          <w:tcPr>
            <w:tcW w:w="2966" w:type="pct"/>
            <w:gridSpan w:val="5"/>
            <w:vMerge w:val="restart"/>
            <w:tcBorders>
              <w:left w:val="single" w:color="auto" w:sz="4" w:space="0"/>
            </w:tcBorders>
            <w:vAlign w:val="center"/>
          </w:tcPr>
          <w:p>
            <w:pPr>
              <w:rPr>
                <w:rFonts w:ascii="楷体" w:hAnsi="楷体" w:eastAsia="楷体"/>
                <w:szCs w:val="21"/>
                <w:u w:val="single"/>
              </w:rPr>
            </w:pPr>
            <w:permStart w:id="42" w:edGrp="everyone"/>
            <w:r>
              <w:rPr>
                <w:rFonts w:hint="eastAsia" w:ascii="楷体_GB2312" w:hAnsi="Times New Roman" w:eastAsia="楷体_GB2312" w:cs="Times New Roman"/>
                <w:szCs w:val="21"/>
              </w:rPr>
              <w:sym w:font="Wingdings" w:char="00FE"/>
            </w:r>
            <w:permEnd w:id="42"/>
            <w:r>
              <w:rPr>
                <w:rFonts w:hint="eastAsia" w:ascii="楷体" w:hAnsi="楷体" w:eastAsia="楷体"/>
                <w:szCs w:val="21"/>
              </w:rPr>
              <w:t>微信</w:t>
            </w:r>
            <w:permStart w:id="43" w:edGrp="everyone"/>
            <w:r>
              <w:rPr>
                <w:rFonts w:ascii="楷体" w:hAnsi="楷体" w:eastAsia="楷体"/>
                <w:szCs w:val="21"/>
                <w:u w:val="single"/>
              </w:rPr>
              <w:t xml:space="preserve">  </w:t>
            </w:r>
            <w:r>
              <w:rPr>
                <w:rFonts w:hint="eastAsia" w:ascii="楷体" w:hAnsi="楷体" w:eastAsia="楷体"/>
                <w:szCs w:val="21"/>
                <w:u w:val="single"/>
                <w:lang w:val="en-US" w:eastAsia="zh-CN"/>
              </w:rPr>
              <w:t>0.65%</w:t>
            </w:r>
            <w:r>
              <w:rPr>
                <w:rFonts w:ascii="楷体" w:hAnsi="楷体" w:eastAsia="楷体"/>
                <w:szCs w:val="21"/>
                <w:u w:val="single"/>
              </w:rPr>
              <w:t xml:space="preserve">   </w:t>
            </w:r>
            <w:permEnd w:id="43"/>
            <w:r>
              <w:rPr>
                <w:rFonts w:hint="eastAsia" w:ascii="楷体" w:hAnsi="楷体" w:eastAsia="楷体"/>
                <w:szCs w:val="21"/>
              </w:rPr>
              <w:t>（普通）</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22" w:hRule="atLeast"/>
          <w:jc w:val="center"/>
        </w:trPr>
        <w:tc>
          <w:tcPr>
            <w:tcW w:w="306" w:type="pct"/>
            <w:vMerge w:val="continue"/>
            <w:vAlign w:val="center"/>
          </w:tcPr>
          <w:p>
            <w:pPr>
              <w:jc w:val="center"/>
              <w:rPr>
                <w:rFonts w:ascii="楷体" w:hAnsi="楷体" w:eastAsia="楷体"/>
                <w:szCs w:val="21"/>
              </w:rPr>
            </w:pPr>
          </w:p>
        </w:tc>
        <w:tc>
          <w:tcPr>
            <w:tcW w:w="437" w:type="pct"/>
            <w:vMerge w:val="continue"/>
            <w:vAlign w:val="center"/>
          </w:tcPr>
          <w:p>
            <w:pPr>
              <w:jc w:val="center"/>
              <w:rPr>
                <w:rFonts w:ascii="楷体" w:hAnsi="楷体" w:eastAsia="楷体"/>
                <w:szCs w:val="21"/>
              </w:rPr>
            </w:pPr>
          </w:p>
        </w:tc>
        <w:tc>
          <w:tcPr>
            <w:tcW w:w="445" w:type="pct"/>
            <w:vMerge w:val="continue"/>
            <w:vAlign w:val="center"/>
          </w:tcPr>
          <w:p>
            <w:pPr>
              <w:jc w:val="center"/>
              <w:rPr>
                <w:rFonts w:ascii="楷体" w:hAnsi="楷体" w:eastAsia="楷体"/>
                <w:szCs w:val="21"/>
              </w:rPr>
            </w:pPr>
          </w:p>
        </w:tc>
        <w:tc>
          <w:tcPr>
            <w:tcW w:w="846" w:type="pct"/>
            <w:tcBorders>
              <w:right w:val="single" w:color="auto" w:sz="4" w:space="0"/>
            </w:tcBorders>
            <w:vAlign w:val="center"/>
          </w:tcPr>
          <w:p>
            <w:pPr>
              <w:jc w:val="left"/>
              <w:rPr>
                <w:rFonts w:ascii="楷体" w:hAnsi="楷体" w:eastAsia="楷体"/>
                <w:szCs w:val="21"/>
              </w:rPr>
            </w:pPr>
            <w:r>
              <w:rPr>
                <w:rFonts w:ascii="楷体" w:hAnsi="楷体" w:eastAsia="楷体"/>
                <w:szCs w:val="21"/>
              </w:rPr>
              <w:t>公众号支付</w:t>
            </w:r>
          </w:p>
        </w:tc>
        <w:tc>
          <w:tcPr>
            <w:tcW w:w="2966" w:type="pct"/>
            <w:gridSpan w:val="5"/>
            <w:vMerge w:val="continue"/>
            <w:tcBorders>
              <w:left w:val="single" w:color="auto" w:sz="4" w:space="0"/>
            </w:tcBorders>
            <w:vAlign w:val="center"/>
          </w:tcPr>
          <w:p>
            <w:pPr>
              <w:rPr>
                <w:rFonts w:ascii="楷体_GB2312" w:hAnsi="Times New Roman" w:eastAsia="楷体_GB2312"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22" w:hRule="atLeast"/>
          <w:jc w:val="center"/>
        </w:trPr>
        <w:tc>
          <w:tcPr>
            <w:tcW w:w="306" w:type="pct"/>
            <w:vMerge w:val="continue"/>
            <w:vAlign w:val="center"/>
          </w:tcPr>
          <w:p>
            <w:pPr>
              <w:jc w:val="center"/>
              <w:rPr>
                <w:rFonts w:ascii="楷体" w:hAnsi="楷体" w:eastAsia="楷体"/>
                <w:szCs w:val="21"/>
              </w:rPr>
            </w:pPr>
          </w:p>
        </w:tc>
        <w:tc>
          <w:tcPr>
            <w:tcW w:w="437" w:type="pct"/>
            <w:vMerge w:val="continue"/>
            <w:vAlign w:val="center"/>
          </w:tcPr>
          <w:p>
            <w:pPr>
              <w:jc w:val="center"/>
              <w:rPr>
                <w:rFonts w:ascii="楷体" w:hAnsi="楷体" w:eastAsia="楷体"/>
                <w:szCs w:val="21"/>
              </w:rPr>
            </w:pPr>
          </w:p>
        </w:tc>
        <w:tc>
          <w:tcPr>
            <w:tcW w:w="445" w:type="pct"/>
            <w:vMerge w:val="continue"/>
            <w:vAlign w:val="center"/>
          </w:tcPr>
          <w:p>
            <w:pPr>
              <w:jc w:val="center"/>
              <w:rPr>
                <w:rFonts w:ascii="楷体" w:hAnsi="楷体" w:eastAsia="楷体"/>
                <w:szCs w:val="21"/>
              </w:rPr>
            </w:pPr>
          </w:p>
        </w:tc>
        <w:tc>
          <w:tcPr>
            <w:tcW w:w="846" w:type="pct"/>
            <w:tcBorders>
              <w:right w:val="single" w:color="auto" w:sz="4" w:space="0"/>
            </w:tcBorders>
            <w:vAlign w:val="center"/>
          </w:tcPr>
          <w:p>
            <w:pPr>
              <w:jc w:val="left"/>
              <w:rPr>
                <w:rFonts w:ascii="楷体" w:hAnsi="楷体" w:eastAsia="楷体"/>
                <w:szCs w:val="21"/>
              </w:rPr>
            </w:pPr>
            <w:r>
              <w:rPr>
                <w:rFonts w:ascii="楷体" w:hAnsi="楷体" w:eastAsia="楷体"/>
                <w:szCs w:val="21"/>
              </w:rPr>
              <w:t>小程序支付</w:t>
            </w:r>
          </w:p>
        </w:tc>
        <w:tc>
          <w:tcPr>
            <w:tcW w:w="2966" w:type="pct"/>
            <w:gridSpan w:val="5"/>
            <w:vMerge w:val="continue"/>
            <w:tcBorders>
              <w:left w:val="single" w:color="auto" w:sz="4" w:space="0"/>
            </w:tcBorders>
            <w:vAlign w:val="center"/>
          </w:tcPr>
          <w:p>
            <w:pPr>
              <w:rPr>
                <w:rFonts w:ascii="楷体_GB2312" w:hAnsi="Times New Roman" w:eastAsia="楷体_GB2312"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22" w:hRule="atLeast"/>
          <w:jc w:val="center"/>
        </w:trPr>
        <w:tc>
          <w:tcPr>
            <w:tcW w:w="306" w:type="pct"/>
            <w:vMerge w:val="continue"/>
            <w:vAlign w:val="center"/>
          </w:tcPr>
          <w:p>
            <w:pPr>
              <w:jc w:val="center"/>
              <w:rPr>
                <w:rFonts w:ascii="楷体" w:hAnsi="楷体" w:eastAsia="楷体"/>
                <w:szCs w:val="21"/>
              </w:rPr>
            </w:pPr>
          </w:p>
        </w:tc>
        <w:tc>
          <w:tcPr>
            <w:tcW w:w="437" w:type="pct"/>
            <w:vMerge w:val="continue"/>
            <w:vAlign w:val="center"/>
          </w:tcPr>
          <w:p>
            <w:pPr>
              <w:jc w:val="center"/>
              <w:rPr>
                <w:rFonts w:ascii="楷体" w:hAnsi="楷体" w:eastAsia="楷体"/>
                <w:szCs w:val="21"/>
              </w:rPr>
            </w:pPr>
          </w:p>
        </w:tc>
        <w:tc>
          <w:tcPr>
            <w:tcW w:w="445" w:type="pct"/>
            <w:vMerge w:val="continue"/>
            <w:vAlign w:val="center"/>
          </w:tcPr>
          <w:p>
            <w:pPr>
              <w:jc w:val="center"/>
              <w:rPr>
                <w:rFonts w:ascii="楷体" w:hAnsi="楷体" w:eastAsia="楷体"/>
                <w:szCs w:val="21"/>
              </w:rPr>
            </w:pPr>
          </w:p>
        </w:tc>
        <w:tc>
          <w:tcPr>
            <w:tcW w:w="846" w:type="pct"/>
            <w:tcBorders>
              <w:right w:val="single" w:color="auto" w:sz="4" w:space="0"/>
            </w:tcBorders>
            <w:vAlign w:val="center"/>
          </w:tcPr>
          <w:p>
            <w:pPr>
              <w:jc w:val="left"/>
              <w:rPr>
                <w:rFonts w:ascii="楷体" w:hAnsi="楷体" w:eastAsia="楷体"/>
                <w:szCs w:val="21"/>
              </w:rPr>
            </w:pPr>
            <w:r>
              <w:rPr>
                <w:rFonts w:hint="eastAsia" w:ascii="楷体" w:hAnsi="楷体" w:eastAsia="楷体"/>
                <w:szCs w:val="21"/>
              </w:rPr>
              <w:t>A</w:t>
            </w:r>
            <w:r>
              <w:rPr>
                <w:rFonts w:ascii="楷体" w:hAnsi="楷体" w:eastAsia="楷体"/>
                <w:szCs w:val="21"/>
              </w:rPr>
              <w:t>PP唤醒支付</w:t>
            </w:r>
          </w:p>
        </w:tc>
        <w:tc>
          <w:tcPr>
            <w:tcW w:w="2966" w:type="pct"/>
            <w:gridSpan w:val="5"/>
            <w:vMerge w:val="continue"/>
            <w:tcBorders>
              <w:left w:val="single" w:color="auto" w:sz="4" w:space="0"/>
            </w:tcBorders>
            <w:vAlign w:val="center"/>
          </w:tcPr>
          <w:p>
            <w:pPr>
              <w:rPr>
                <w:rFonts w:ascii="楷体_GB2312" w:hAnsi="Times New Roman" w:eastAsia="楷体_GB2312"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 w:hRule="atLeast"/>
          <w:jc w:val="center"/>
        </w:trPr>
        <w:tc>
          <w:tcPr>
            <w:tcW w:w="306" w:type="pct"/>
            <w:vMerge w:val="continue"/>
            <w:vAlign w:val="center"/>
          </w:tcPr>
          <w:p>
            <w:pPr>
              <w:jc w:val="center"/>
              <w:rPr>
                <w:rFonts w:ascii="楷体" w:hAnsi="楷体" w:eastAsia="楷体"/>
                <w:szCs w:val="21"/>
              </w:rPr>
            </w:pPr>
          </w:p>
        </w:tc>
        <w:tc>
          <w:tcPr>
            <w:tcW w:w="437" w:type="pct"/>
            <w:vMerge w:val="continue"/>
            <w:vAlign w:val="center"/>
          </w:tcPr>
          <w:p>
            <w:pPr>
              <w:jc w:val="center"/>
              <w:rPr>
                <w:rFonts w:ascii="楷体" w:hAnsi="楷体" w:eastAsia="楷体"/>
                <w:szCs w:val="21"/>
              </w:rPr>
            </w:pPr>
          </w:p>
        </w:tc>
        <w:tc>
          <w:tcPr>
            <w:tcW w:w="445" w:type="pct"/>
            <w:vMerge w:val="continue"/>
            <w:vAlign w:val="center"/>
          </w:tcPr>
          <w:p>
            <w:pPr>
              <w:jc w:val="center"/>
              <w:rPr>
                <w:rFonts w:ascii="楷体" w:hAnsi="楷体" w:eastAsia="楷体"/>
                <w:szCs w:val="21"/>
                <w:u w:val="single"/>
              </w:rPr>
            </w:pPr>
          </w:p>
        </w:tc>
        <w:tc>
          <w:tcPr>
            <w:tcW w:w="846" w:type="pct"/>
            <w:tcBorders>
              <w:right w:val="single" w:color="auto" w:sz="4" w:space="0"/>
            </w:tcBorders>
            <w:vAlign w:val="center"/>
          </w:tcPr>
          <w:p>
            <w:pPr>
              <w:jc w:val="left"/>
              <w:rPr>
                <w:rFonts w:ascii="楷体" w:hAnsi="楷体" w:eastAsia="楷体"/>
                <w:szCs w:val="21"/>
              </w:rPr>
            </w:pPr>
            <w:r>
              <w:rPr>
                <w:rFonts w:ascii="楷体" w:hAnsi="楷体" w:eastAsia="楷体"/>
                <w:szCs w:val="21"/>
              </w:rPr>
              <w:t>分账</w:t>
            </w:r>
          </w:p>
        </w:tc>
        <w:tc>
          <w:tcPr>
            <w:tcW w:w="2966" w:type="pct"/>
            <w:gridSpan w:val="5"/>
            <w:tcBorders>
              <w:left w:val="single" w:color="auto" w:sz="4" w:space="0"/>
            </w:tcBorders>
            <w:vAlign w:val="center"/>
          </w:tcPr>
          <w:p>
            <w:pPr>
              <w:rPr>
                <w:rFonts w:ascii="楷体_GB2312" w:hAnsi="Times New Roman" w:eastAsia="楷体_GB2312" w:cs="Times New Roman"/>
                <w:szCs w:val="21"/>
              </w:rPr>
            </w:pPr>
            <w:r>
              <w:rPr>
                <w:rFonts w:hint="eastAsia" w:ascii="楷体" w:hAnsi="楷体" w:eastAsia="楷体"/>
                <w:szCs w:val="21"/>
              </w:rPr>
              <w:t>是否开通分账：</w:t>
            </w:r>
            <w:permStart w:id="44" w:edGrp="everyone"/>
            <w:r>
              <w:rPr>
                <w:rFonts w:hint="eastAsia" w:ascii="楷体" w:hAnsi="楷体" w:eastAsia="楷体"/>
                <w:szCs w:val="21"/>
              </w:rPr>
              <w:sym w:font="Wingdings" w:char="F0A8"/>
            </w:r>
            <w:permEnd w:id="44"/>
            <w:r>
              <w:rPr>
                <w:rFonts w:hint="eastAsia" w:ascii="楷体" w:hAnsi="楷体" w:eastAsia="楷体"/>
                <w:szCs w:val="21"/>
              </w:rPr>
              <w:t>是</w:t>
            </w:r>
            <w:permStart w:id="45" w:edGrp="everyone"/>
            <w:r>
              <w:rPr>
                <w:rFonts w:ascii="楷体" w:hAnsi="楷体" w:eastAsia="楷体"/>
                <w:szCs w:val="21"/>
                <w:u w:val="single"/>
              </w:rPr>
              <w:t xml:space="preserve">    </w:t>
            </w:r>
            <w:permEnd w:id="45"/>
            <w:r>
              <w:rPr>
                <w:rFonts w:hint="eastAsia" w:ascii="楷体" w:hAnsi="楷体" w:eastAsia="楷体"/>
                <w:szCs w:val="21"/>
              </w:rPr>
              <w:t xml:space="preserve"> </w:t>
            </w:r>
            <w:permStart w:id="46" w:edGrp="everyone"/>
            <w:r>
              <w:rPr>
                <w:rFonts w:hint="eastAsia" w:ascii="楷体" w:hAnsi="楷体" w:eastAsia="楷体"/>
                <w:szCs w:val="21"/>
              </w:rPr>
              <w:sym w:font="Wingdings" w:char="F0A8"/>
            </w:r>
            <w:permEnd w:id="46"/>
            <w:r>
              <w:rPr>
                <w:rFonts w:hint="eastAsia" w:ascii="楷体" w:hAnsi="楷体" w:eastAsia="楷体"/>
                <w:szCs w:val="21"/>
              </w:rPr>
              <w:t>否</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 w:hRule="atLeast"/>
          <w:jc w:val="center"/>
        </w:trPr>
        <w:tc>
          <w:tcPr>
            <w:tcW w:w="306" w:type="pct"/>
            <w:vMerge w:val="continue"/>
            <w:vAlign w:val="center"/>
          </w:tcPr>
          <w:p>
            <w:pPr>
              <w:jc w:val="center"/>
              <w:rPr>
                <w:rFonts w:ascii="楷体" w:hAnsi="楷体" w:eastAsia="楷体"/>
                <w:szCs w:val="21"/>
              </w:rPr>
            </w:pPr>
          </w:p>
        </w:tc>
        <w:tc>
          <w:tcPr>
            <w:tcW w:w="437" w:type="pct"/>
            <w:vMerge w:val="continue"/>
            <w:vAlign w:val="center"/>
          </w:tcPr>
          <w:p>
            <w:pPr>
              <w:jc w:val="center"/>
              <w:rPr>
                <w:rFonts w:ascii="楷体" w:hAnsi="楷体" w:eastAsia="楷体"/>
                <w:szCs w:val="21"/>
              </w:rPr>
            </w:pPr>
          </w:p>
        </w:tc>
        <w:tc>
          <w:tcPr>
            <w:tcW w:w="445" w:type="pct"/>
            <w:vMerge w:val="continue"/>
            <w:vAlign w:val="center"/>
          </w:tcPr>
          <w:p>
            <w:pPr>
              <w:jc w:val="center"/>
              <w:rPr>
                <w:rFonts w:ascii="楷体" w:hAnsi="楷体" w:eastAsia="楷体"/>
                <w:szCs w:val="21"/>
                <w:u w:val="single"/>
              </w:rPr>
            </w:pPr>
          </w:p>
        </w:tc>
        <w:tc>
          <w:tcPr>
            <w:tcW w:w="846" w:type="pct"/>
            <w:tcBorders>
              <w:right w:val="single" w:color="auto" w:sz="4" w:space="0"/>
            </w:tcBorders>
            <w:vAlign w:val="center"/>
          </w:tcPr>
          <w:p>
            <w:pPr>
              <w:jc w:val="left"/>
              <w:rPr>
                <w:rFonts w:ascii="楷体" w:hAnsi="楷体" w:eastAsia="楷体"/>
                <w:szCs w:val="21"/>
              </w:rPr>
            </w:pPr>
            <w:r>
              <w:rPr>
                <w:rFonts w:ascii="楷体" w:hAnsi="楷体" w:eastAsia="楷体"/>
                <w:szCs w:val="21"/>
              </w:rPr>
              <w:t>取现</w:t>
            </w:r>
          </w:p>
        </w:tc>
        <w:tc>
          <w:tcPr>
            <w:tcW w:w="2966" w:type="pct"/>
            <w:gridSpan w:val="5"/>
            <w:tcBorders>
              <w:left w:val="single" w:color="auto" w:sz="4" w:space="0"/>
            </w:tcBorders>
            <w:vAlign w:val="center"/>
          </w:tcPr>
          <w:p>
            <w:pPr>
              <w:rPr>
                <w:rFonts w:ascii="楷体_GB2312" w:hAnsi="Times New Roman" w:eastAsia="楷体_GB2312" w:cs="Times New Roman"/>
                <w:szCs w:val="21"/>
              </w:rPr>
            </w:pPr>
            <w:permStart w:id="47" w:edGrp="everyone"/>
            <w:r>
              <w:rPr>
                <w:rFonts w:hint="eastAsia" w:ascii="楷体_GB2312" w:hAnsi="Times New Roman" w:eastAsia="楷体_GB2312" w:cs="Times New Roman"/>
                <w:szCs w:val="21"/>
              </w:rPr>
              <w:sym w:font="Wingdings" w:char="00FE"/>
            </w:r>
            <w:r>
              <w:rPr>
                <w:rFonts w:hint="eastAsia" w:ascii="楷体" w:hAnsi="楷体" w:eastAsia="楷体"/>
                <w:szCs w:val="21"/>
              </w:rPr>
              <w:t>T+</w:t>
            </w:r>
            <w:r>
              <w:rPr>
                <w:rFonts w:ascii="楷体" w:hAnsi="楷体" w:eastAsia="楷体"/>
                <w:szCs w:val="21"/>
              </w:rPr>
              <w:t>1</w:t>
            </w:r>
            <w:r>
              <w:rPr>
                <w:rFonts w:hint="eastAsia" w:ascii="楷体" w:hAnsi="楷体" w:eastAsia="楷体"/>
                <w:szCs w:val="21"/>
              </w:rPr>
              <w:t>日</w:t>
            </w:r>
            <w:r>
              <w:rPr>
                <w:rFonts w:ascii="楷体" w:hAnsi="楷体" w:eastAsia="楷体"/>
                <w:szCs w:val="21"/>
                <w:u w:val="single"/>
              </w:rPr>
              <w:t xml:space="preserve">     </w:t>
            </w:r>
            <w:permEnd w:id="47"/>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 w:hRule="atLeast"/>
          <w:jc w:val="center"/>
        </w:trPr>
        <w:tc>
          <w:tcPr>
            <w:tcW w:w="306" w:type="pct"/>
            <w:vMerge w:val="continue"/>
            <w:vAlign w:val="center"/>
          </w:tcPr>
          <w:p>
            <w:pPr>
              <w:jc w:val="center"/>
              <w:rPr>
                <w:rFonts w:ascii="楷体" w:hAnsi="楷体" w:eastAsia="楷体"/>
                <w:szCs w:val="21"/>
              </w:rPr>
            </w:pPr>
          </w:p>
        </w:tc>
        <w:tc>
          <w:tcPr>
            <w:tcW w:w="882" w:type="pct"/>
            <w:gridSpan w:val="2"/>
            <w:tcBorders>
              <w:right w:val="single" w:color="auto" w:sz="4" w:space="0"/>
            </w:tcBorders>
            <w:vAlign w:val="center"/>
          </w:tcPr>
          <w:p>
            <w:pPr>
              <w:jc w:val="center"/>
              <w:rPr>
                <w:rFonts w:ascii="楷体" w:hAnsi="楷体" w:eastAsia="楷体"/>
                <w:szCs w:val="21"/>
              </w:rPr>
            </w:pPr>
            <w:r>
              <w:rPr>
                <w:rFonts w:ascii="楷体" w:hAnsi="楷体" w:eastAsia="楷体"/>
                <w:szCs w:val="21"/>
              </w:rPr>
              <w:t>增值</w:t>
            </w:r>
            <w:r>
              <w:rPr>
                <w:rFonts w:hint="eastAsia" w:ascii="楷体" w:hAnsi="楷体" w:eastAsia="楷体"/>
                <w:szCs w:val="21"/>
              </w:rPr>
              <w:t>业务</w:t>
            </w:r>
          </w:p>
        </w:tc>
        <w:tc>
          <w:tcPr>
            <w:tcW w:w="846" w:type="pct"/>
            <w:tcBorders>
              <w:left w:val="single" w:color="auto" w:sz="4" w:space="0"/>
              <w:right w:val="single" w:color="auto" w:sz="4" w:space="0"/>
            </w:tcBorders>
            <w:vAlign w:val="center"/>
          </w:tcPr>
          <w:p>
            <w:pPr>
              <w:jc w:val="left"/>
              <w:rPr>
                <w:rFonts w:ascii="楷体_GB2312" w:hAnsi="Times New Roman" w:eastAsia="楷体_GB2312" w:cs="Times New Roman"/>
                <w:szCs w:val="21"/>
              </w:rPr>
            </w:pPr>
            <w:r>
              <w:rPr>
                <w:rFonts w:hint="eastAsia" w:ascii="楷体_GB2312" w:hAnsi="Times New Roman" w:eastAsia="楷体_GB2312" w:cs="Times New Roman"/>
                <w:szCs w:val="21"/>
              </w:rPr>
              <w:t>快速</w:t>
            </w:r>
            <w:r>
              <w:rPr>
                <w:rFonts w:ascii="楷体_GB2312" w:hAnsi="Times New Roman" w:eastAsia="楷体_GB2312" w:cs="Times New Roman"/>
                <w:szCs w:val="21"/>
              </w:rPr>
              <w:t>结算</w:t>
            </w:r>
          </w:p>
        </w:tc>
        <w:tc>
          <w:tcPr>
            <w:tcW w:w="989" w:type="pct"/>
            <w:gridSpan w:val="2"/>
            <w:tcBorders>
              <w:left w:val="single" w:color="auto" w:sz="4" w:space="0"/>
            </w:tcBorders>
            <w:vAlign w:val="center"/>
          </w:tcPr>
          <w:p>
            <w:pPr>
              <w:rPr>
                <w:rFonts w:ascii="楷体_GB2312" w:hAnsi="Times New Roman" w:eastAsia="楷体_GB2312" w:cs="Times New Roman"/>
                <w:szCs w:val="21"/>
              </w:rPr>
            </w:pPr>
            <w:permStart w:id="48" w:edGrp="everyone"/>
            <w:r>
              <w:rPr>
                <w:rFonts w:hint="eastAsia" w:ascii="楷体_GB2312" w:hAnsi="Times New Roman" w:eastAsia="楷体_GB2312" w:cs="Times New Roman"/>
                <w:szCs w:val="21"/>
              </w:rPr>
              <w:sym w:font="Wingdings" w:char="F06F"/>
            </w:r>
            <w:permEnd w:id="48"/>
            <w:r>
              <w:rPr>
                <w:rFonts w:hint="eastAsia" w:ascii="楷体" w:hAnsi="楷体" w:eastAsia="楷体"/>
                <w:szCs w:val="21"/>
              </w:rPr>
              <w:t>D日</w:t>
            </w:r>
            <w:permStart w:id="49" w:edGrp="everyone"/>
            <w:r>
              <w:rPr>
                <w:rFonts w:ascii="楷体" w:hAnsi="楷体" w:eastAsia="楷体"/>
                <w:szCs w:val="21"/>
                <w:u w:val="single"/>
              </w:rPr>
              <w:t xml:space="preserve">     </w:t>
            </w:r>
            <w:permEnd w:id="49"/>
          </w:p>
        </w:tc>
        <w:tc>
          <w:tcPr>
            <w:tcW w:w="989" w:type="pct"/>
            <w:gridSpan w:val="2"/>
            <w:tcBorders>
              <w:left w:val="single" w:color="auto" w:sz="4" w:space="0"/>
            </w:tcBorders>
            <w:vAlign w:val="center"/>
          </w:tcPr>
          <w:p>
            <w:pPr>
              <w:rPr>
                <w:rFonts w:ascii="楷体_GB2312" w:hAnsi="Times New Roman" w:eastAsia="楷体_GB2312" w:cs="Times New Roman"/>
                <w:szCs w:val="21"/>
              </w:rPr>
            </w:pPr>
            <w:permStart w:id="50" w:edGrp="everyone"/>
            <w:r>
              <w:rPr>
                <w:rFonts w:hint="eastAsia" w:ascii="楷体_GB2312" w:hAnsi="Times New Roman" w:eastAsia="楷体_GB2312" w:cs="Times New Roman"/>
                <w:szCs w:val="21"/>
              </w:rPr>
              <w:sym w:font="Wingdings" w:char="F06F"/>
            </w:r>
            <w:permEnd w:id="50"/>
            <w:r>
              <w:rPr>
                <w:rFonts w:ascii="楷体_GB2312" w:hAnsi="Times New Roman" w:eastAsia="楷体_GB2312" w:cs="Times New Roman"/>
                <w:szCs w:val="21"/>
              </w:rPr>
              <w:t>D</w:t>
            </w:r>
            <w:r>
              <w:rPr>
                <w:rFonts w:hint="eastAsia" w:ascii="楷体_GB2312" w:hAnsi="Times New Roman" w:eastAsia="楷体_GB2312" w:cs="Times New Roman"/>
                <w:szCs w:val="21"/>
              </w:rPr>
              <w:t>+</w:t>
            </w:r>
            <w:r>
              <w:rPr>
                <w:rFonts w:ascii="楷体_GB2312" w:hAnsi="Times New Roman" w:eastAsia="楷体_GB2312" w:cs="Times New Roman"/>
                <w:szCs w:val="21"/>
              </w:rPr>
              <w:t>1</w:t>
            </w:r>
            <w:r>
              <w:rPr>
                <w:rFonts w:hint="eastAsia" w:ascii="楷体_GB2312" w:hAnsi="Times New Roman" w:eastAsia="楷体_GB2312" w:cs="Times New Roman"/>
                <w:szCs w:val="21"/>
              </w:rPr>
              <w:t>日</w:t>
            </w:r>
            <w:permStart w:id="51" w:edGrp="everyone"/>
            <w:r>
              <w:rPr>
                <w:rFonts w:ascii="楷体" w:hAnsi="楷体" w:eastAsia="楷体"/>
                <w:szCs w:val="21"/>
                <w:u w:val="single"/>
              </w:rPr>
              <w:t xml:space="preserve">     </w:t>
            </w:r>
            <w:permEnd w:id="51"/>
          </w:p>
        </w:tc>
        <w:tc>
          <w:tcPr>
            <w:tcW w:w="988" w:type="pct"/>
            <w:tcBorders>
              <w:left w:val="single" w:color="auto" w:sz="4" w:space="0"/>
            </w:tcBorders>
            <w:vAlign w:val="center"/>
          </w:tcPr>
          <w:p>
            <w:pPr>
              <w:rPr>
                <w:rFonts w:ascii="楷体_GB2312" w:hAnsi="Times New Roman" w:eastAsia="楷体_GB2312" w:cs="Times New Roman"/>
                <w:szCs w:val="21"/>
              </w:rPr>
            </w:pPr>
            <w:permStart w:id="52" w:edGrp="everyone"/>
            <w:r>
              <w:rPr>
                <w:rFonts w:hint="eastAsia" w:ascii="楷体_GB2312" w:hAnsi="Times New Roman" w:eastAsia="楷体_GB2312" w:cs="Times New Roman"/>
                <w:szCs w:val="21"/>
              </w:rPr>
              <w:sym w:font="Wingdings" w:char="F06F"/>
            </w:r>
            <w:permEnd w:id="52"/>
            <w:r>
              <w:rPr>
                <w:rFonts w:ascii="楷体_GB2312" w:hAnsi="Times New Roman" w:eastAsia="楷体_GB2312" w:cs="Times New Roman"/>
                <w:szCs w:val="21"/>
              </w:rPr>
              <w:t>TS</w:t>
            </w:r>
            <w:permStart w:id="53" w:edGrp="everyone"/>
            <w:r>
              <w:rPr>
                <w:rFonts w:ascii="楷体" w:hAnsi="楷体" w:eastAsia="楷体"/>
                <w:szCs w:val="21"/>
                <w:u w:val="single"/>
              </w:rPr>
              <w:t xml:space="preserve">     </w:t>
            </w:r>
            <w:permEnd w:id="53"/>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412" w:hRule="atLeast"/>
          <w:jc w:val="center"/>
        </w:trPr>
        <w:tc>
          <w:tcPr>
            <w:tcW w:w="306" w:type="pct"/>
            <w:vMerge w:val="continue"/>
            <w:vAlign w:val="center"/>
          </w:tcPr>
          <w:p>
            <w:pPr>
              <w:jc w:val="center"/>
              <w:rPr>
                <w:rFonts w:ascii="楷体" w:hAnsi="楷体" w:eastAsia="楷体"/>
                <w:szCs w:val="21"/>
              </w:rPr>
            </w:pPr>
          </w:p>
        </w:tc>
        <w:tc>
          <w:tcPr>
            <w:tcW w:w="882" w:type="pct"/>
            <w:gridSpan w:val="2"/>
            <w:vAlign w:val="center"/>
          </w:tcPr>
          <w:p>
            <w:pPr>
              <w:rPr>
                <w:rFonts w:ascii="楷体" w:hAnsi="楷体" w:eastAsia="楷体"/>
                <w:szCs w:val="21"/>
              </w:rPr>
            </w:pPr>
            <w:r>
              <w:rPr>
                <w:rFonts w:hint="eastAsia" w:ascii="楷体" w:hAnsi="楷体" w:eastAsia="楷体"/>
                <w:szCs w:val="21"/>
              </w:rPr>
              <w:t>附加功能选项</w:t>
            </w:r>
          </w:p>
        </w:tc>
        <w:tc>
          <w:tcPr>
            <w:tcW w:w="3812" w:type="pct"/>
            <w:gridSpan w:val="6"/>
            <w:vAlign w:val="center"/>
          </w:tcPr>
          <w:p>
            <w:pPr>
              <w:rPr>
                <w:rFonts w:ascii="楷体" w:hAnsi="楷体" w:eastAsia="楷体"/>
                <w:szCs w:val="21"/>
              </w:rPr>
            </w:pPr>
            <w:permStart w:id="54" w:edGrp="everyone"/>
            <w:r>
              <w:rPr>
                <w:rFonts w:hint="eastAsia" w:ascii="楷体" w:hAnsi="楷体" w:eastAsia="楷体"/>
                <w:szCs w:val="21"/>
              </w:rPr>
              <w:sym w:font="Wingdings" w:char="F0FE"/>
            </w:r>
            <w:permEnd w:id="54"/>
            <w:r>
              <w:rPr>
                <w:rFonts w:hint="eastAsia" w:ascii="楷体" w:hAnsi="楷体" w:eastAsia="楷体"/>
                <w:szCs w:val="21"/>
              </w:rPr>
              <w:t xml:space="preserve">开通专属账户  </w:t>
            </w:r>
            <w:permStart w:id="55" w:edGrp="everyone"/>
            <w:r>
              <w:rPr>
                <w:rFonts w:hint="eastAsia" w:ascii="楷体" w:hAnsi="楷体" w:eastAsia="楷体"/>
                <w:szCs w:val="21"/>
              </w:rPr>
              <w:sym w:font="Wingdings" w:char="F0A8"/>
            </w:r>
            <w:permEnd w:id="55"/>
            <w:r>
              <w:rPr>
                <w:rFonts w:hint="eastAsia" w:ascii="楷体" w:hAnsi="楷体" w:eastAsia="楷体"/>
                <w:szCs w:val="21"/>
              </w:rPr>
              <w:t>其他</w:t>
            </w:r>
            <w:permStart w:id="56" w:edGrp="everyone"/>
            <w:r>
              <w:rPr>
                <w:rFonts w:hint="eastAsia" w:ascii="楷体" w:hAnsi="楷体" w:eastAsia="楷体"/>
                <w:szCs w:val="21"/>
                <w:u w:val="single"/>
              </w:rPr>
              <w:t xml:space="preserve">  </w:t>
            </w:r>
            <w:r>
              <w:rPr>
                <w:rFonts w:ascii="楷体" w:hAnsi="楷体" w:eastAsia="楷体"/>
                <w:szCs w:val="21"/>
                <w:u w:val="single"/>
              </w:rPr>
              <w:t xml:space="preserve">           </w:t>
            </w:r>
            <w:permEnd w:id="56"/>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403" w:hRule="atLeast"/>
          <w:jc w:val="center"/>
        </w:trPr>
        <w:tc>
          <w:tcPr>
            <w:tcW w:w="306" w:type="pct"/>
            <w:vMerge w:val="continue"/>
          </w:tcPr>
          <w:p>
            <w:pPr>
              <w:rPr>
                <w:rFonts w:ascii="楷体" w:hAnsi="楷体" w:eastAsia="楷体"/>
                <w:szCs w:val="21"/>
              </w:rPr>
            </w:pPr>
          </w:p>
        </w:tc>
        <w:tc>
          <w:tcPr>
            <w:tcW w:w="882" w:type="pct"/>
            <w:gridSpan w:val="2"/>
            <w:vAlign w:val="center"/>
          </w:tcPr>
          <w:p>
            <w:pPr>
              <w:jc w:val="center"/>
              <w:rPr>
                <w:rFonts w:ascii="楷体" w:hAnsi="楷体" w:eastAsia="楷体"/>
                <w:color w:val="FF0000"/>
                <w:szCs w:val="21"/>
              </w:rPr>
            </w:pPr>
            <w:r>
              <w:rPr>
                <w:rFonts w:hint="eastAsia" w:ascii="楷体" w:hAnsi="楷体" w:eastAsia="楷体"/>
                <w:color w:val="000000"/>
                <w:szCs w:val="21"/>
              </w:rPr>
              <w:t>受理终端布放地址</w:t>
            </w:r>
          </w:p>
        </w:tc>
        <w:tc>
          <w:tcPr>
            <w:tcW w:w="3812" w:type="pct"/>
            <w:gridSpan w:val="6"/>
          </w:tcPr>
          <w:p>
            <w:pPr>
              <w:jc w:val="left"/>
              <w:rPr>
                <w:rFonts w:ascii="楷体" w:hAnsi="楷体" w:eastAsia="楷体"/>
                <w:color w:val="FF0000"/>
                <w:szCs w:val="21"/>
                <w:u w:val="single"/>
              </w:rPr>
            </w:pPr>
            <w:permStart w:id="57" w:edGrp="everyone"/>
            <w:r>
              <w:rPr>
                <w:rFonts w:hint="eastAsia" w:ascii="楷体" w:hAnsi="楷体" w:eastAsia="楷体"/>
                <w:szCs w:val="21"/>
                <w:u w:val="single"/>
              </w:rPr>
              <w:t xml:space="preserve">  </w:t>
            </w:r>
            <w:r>
              <w:rPr>
                <w:rFonts w:ascii="楷体" w:hAnsi="楷体" w:eastAsia="楷体"/>
                <w:szCs w:val="21"/>
                <w:u w:val="single"/>
              </w:rPr>
              <w:t xml:space="preserve">                           </w:t>
            </w:r>
            <w:r>
              <w:rPr>
                <w:rFonts w:hint="eastAsia" w:ascii="楷体" w:hAnsi="楷体" w:eastAsia="楷体"/>
                <w:szCs w:val="21"/>
                <w:u w:val="single"/>
              </w:rPr>
              <w:t xml:space="preserve">   </w:t>
            </w:r>
            <w:permEnd w:id="57"/>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403" w:hRule="atLeast"/>
          <w:jc w:val="center"/>
        </w:trPr>
        <w:tc>
          <w:tcPr>
            <w:tcW w:w="5000" w:type="pct"/>
            <w:gridSpan w:val="9"/>
          </w:tcPr>
          <w:p>
            <w:pPr>
              <w:jc w:val="left"/>
              <w:rPr>
                <w:rFonts w:ascii="楷体" w:hAnsi="楷体" w:eastAsia="楷体"/>
                <w:szCs w:val="21"/>
              </w:rPr>
            </w:pPr>
            <w:r>
              <w:rPr>
                <w:rFonts w:hint="eastAsia" w:ascii="楷体" w:hAnsi="楷体" w:eastAsia="楷体"/>
                <w:szCs w:val="21"/>
              </w:rPr>
              <w:t>备注：（1）*条码支付银联大额交易指交易金额＞1</w:t>
            </w:r>
            <w:r>
              <w:rPr>
                <w:rFonts w:ascii="楷体" w:hAnsi="楷体" w:eastAsia="楷体"/>
                <w:szCs w:val="21"/>
              </w:rPr>
              <w:t>000</w:t>
            </w:r>
            <w:r>
              <w:rPr>
                <w:rFonts w:hint="eastAsia" w:ascii="楷体" w:hAnsi="楷体" w:eastAsia="楷体"/>
                <w:szCs w:val="21"/>
              </w:rPr>
              <w:t>元的交易，小额交易指交易金额≤1</w:t>
            </w:r>
            <w:r>
              <w:rPr>
                <w:rFonts w:ascii="楷体" w:hAnsi="楷体" w:eastAsia="楷体"/>
                <w:szCs w:val="21"/>
              </w:rPr>
              <w:t>000</w:t>
            </w:r>
            <w:r>
              <w:rPr>
                <w:rFonts w:hint="eastAsia" w:ascii="楷体" w:hAnsi="楷体" w:eastAsia="楷体"/>
                <w:szCs w:val="21"/>
              </w:rPr>
              <w:t>元的交易且条码支付银联通道功能及价格同时适用于线上及线下场景。</w:t>
            </w:r>
          </w:p>
          <w:p>
            <w:pPr>
              <w:rPr>
                <w:rFonts w:ascii="楷体" w:hAnsi="楷体" w:eastAsia="楷体"/>
                <w:szCs w:val="21"/>
              </w:rPr>
            </w:pPr>
            <w:r>
              <w:rPr>
                <w:rFonts w:hint="eastAsia" w:ascii="楷体" w:hAnsi="楷体" w:eastAsia="楷体"/>
                <w:szCs w:val="21"/>
              </w:rPr>
              <w:t>（</w:t>
            </w:r>
            <w:r>
              <w:rPr>
                <w:rFonts w:ascii="楷体" w:hAnsi="楷体" w:eastAsia="楷体"/>
                <w:szCs w:val="21"/>
              </w:rPr>
              <w:t>2</w:t>
            </w:r>
            <w:r>
              <w:rPr>
                <w:rFonts w:hint="eastAsia" w:ascii="楷体" w:hAnsi="楷体" w:eastAsia="楷体"/>
                <w:szCs w:val="21"/>
              </w:rPr>
              <w:t>）</w:t>
            </w:r>
            <w:r>
              <w:rPr>
                <w:rFonts w:ascii="楷体" w:hAnsi="楷体" w:eastAsia="楷体"/>
                <w:szCs w:val="21"/>
              </w:rPr>
              <w:t>乙方有权根据法律法规</w:t>
            </w:r>
            <w:r>
              <w:rPr>
                <w:rFonts w:hint="eastAsia" w:ascii="楷体" w:hAnsi="楷体" w:eastAsia="楷体"/>
                <w:szCs w:val="21"/>
              </w:rPr>
              <w:t>、银联/支付宝/微信政策或业务发展需求变更</w:t>
            </w:r>
            <w:r>
              <w:rPr>
                <w:rFonts w:ascii="楷体" w:hAnsi="楷体" w:eastAsia="楷体"/>
                <w:szCs w:val="21"/>
              </w:rPr>
              <w:t>上述手续费率</w:t>
            </w:r>
            <w:r>
              <w:rPr>
                <w:rFonts w:hint="eastAsia" w:ascii="楷体" w:hAnsi="楷体" w:eastAsia="楷体"/>
                <w:szCs w:val="21"/>
              </w:rPr>
              <w:t>，</w:t>
            </w:r>
            <w:r>
              <w:rPr>
                <w:rFonts w:ascii="楷体" w:hAnsi="楷体" w:eastAsia="楷体"/>
                <w:szCs w:val="21"/>
              </w:rPr>
              <w:t>但应通过首页地址或电子邮箱提前</w:t>
            </w:r>
            <w:r>
              <w:rPr>
                <w:rFonts w:hint="eastAsia" w:ascii="楷体" w:hAnsi="楷体" w:eastAsia="楷体"/>
                <w:szCs w:val="21"/>
              </w:rPr>
              <w:t>1</w:t>
            </w:r>
            <w:r>
              <w:rPr>
                <w:rFonts w:ascii="楷体" w:hAnsi="楷体" w:eastAsia="楷体"/>
                <w:szCs w:val="21"/>
              </w:rPr>
              <w:t>5日通知甲方</w:t>
            </w:r>
            <w:r>
              <w:rPr>
                <w:rFonts w:hint="eastAsia" w:ascii="楷体" w:hAnsi="楷体" w:eastAsia="楷体"/>
                <w:szCs w:val="21"/>
              </w:rPr>
              <w:t>。自乙方发出通知后5日内，若甲方未提出异议，则视为甲方同意变更手续费率。</w:t>
            </w:r>
            <w:r>
              <w:rPr>
                <w:rFonts w:ascii="楷体" w:hAnsi="楷体" w:eastAsia="楷体"/>
                <w:szCs w:val="21"/>
              </w:rPr>
              <w:t>若甲方不同意变更手续费率</w:t>
            </w:r>
            <w:r>
              <w:rPr>
                <w:rFonts w:hint="eastAsia" w:ascii="楷体" w:hAnsi="楷体" w:eastAsia="楷体"/>
                <w:szCs w:val="21"/>
              </w:rPr>
              <w:t>，则乙方有权单方终止本协议。</w:t>
            </w:r>
          </w:p>
          <w:p>
            <w:pPr>
              <w:rPr>
                <w:rFonts w:ascii="楷体" w:hAnsi="楷体" w:eastAsia="楷体"/>
                <w:szCs w:val="21"/>
              </w:rPr>
            </w:pPr>
            <w:r>
              <w:rPr>
                <w:rFonts w:hint="eastAsia" w:ascii="楷体" w:hAnsi="楷体" w:eastAsia="楷体"/>
                <w:szCs w:val="21"/>
              </w:rPr>
              <w:t>（3）本协议自甲乙双方盖章之日起生效，有效期至</w:t>
            </w:r>
            <w:permStart w:id="58" w:edGrp="everyone"/>
            <w:r>
              <w:rPr>
                <w:rFonts w:hint="eastAsia" w:ascii="楷体" w:hAnsi="楷体" w:eastAsia="楷体"/>
                <w:szCs w:val="21"/>
              </w:rPr>
              <w:t>2</w:t>
            </w:r>
            <w:r>
              <w:rPr>
                <w:rFonts w:ascii="楷体" w:hAnsi="楷体" w:eastAsia="楷体"/>
                <w:szCs w:val="21"/>
              </w:rPr>
              <w:t>02</w:t>
            </w:r>
            <w:r>
              <w:rPr>
                <w:rFonts w:hint="eastAsia" w:ascii="楷体" w:hAnsi="楷体" w:eastAsia="楷体"/>
                <w:szCs w:val="21"/>
                <w:lang w:val="en-US" w:eastAsia="zh-CN"/>
              </w:rPr>
              <w:t>1</w:t>
            </w:r>
            <w:permEnd w:id="58"/>
            <w:r>
              <w:rPr>
                <w:rFonts w:hint="eastAsia" w:ascii="楷体" w:hAnsi="楷体" w:eastAsia="楷体"/>
                <w:szCs w:val="21"/>
              </w:rPr>
              <w:t>年1</w:t>
            </w:r>
            <w:r>
              <w:rPr>
                <w:rFonts w:ascii="楷体" w:hAnsi="楷体" w:eastAsia="楷体"/>
                <w:szCs w:val="21"/>
              </w:rPr>
              <w:t>2</w:t>
            </w:r>
            <w:r>
              <w:rPr>
                <w:rFonts w:hint="eastAsia" w:ascii="楷体" w:hAnsi="楷体" w:eastAsia="楷体"/>
                <w:szCs w:val="21"/>
              </w:rPr>
              <w:t>月3</w:t>
            </w:r>
            <w:r>
              <w:rPr>
                <w:rFonts w:ascii="楷体" w:hAnsi="楷体" w:eastAsia="楷体"/>
                <w:szCs w:val="21"/>
              </w:rPr>
              <w:t>1</w:t>
            </w:r>
            <w:r>
              <w:rPr>
                <w:rFonts w:hint="eastAsia" w:ascii="楷体" w:hAnsi="楷体" w:eastAsia="楷体"/>
                <w:szCs w:val="21"/>
              </w:rPr>
              <w:t>日。截至本协议有效期届满30天前，如甲乙双方中任何一方均未以书面形式向对方提出终止本协议或发出不自动续约通知的，则本协议有效期届满日的次日起自动延续壹年，仅限延续壹次。</w:t>
            </w:r>
          </w:p>
        </w:tc>
      </w:tr>
    </w:tbl>
    <w:p>
      <w:pPr>
        <w:rPr>
          <w:rFonts w:ascii="楷体" w:hAnsi="楷体" w:eastAsia="楷体"/>
          <w:b/>
          <w:szCs w:val="21"/>
        </w:rPr>
      </w:pPr>
    </w:p>
    <w:p>
      <w:pPr>
        <w:rPr>
          <w:rFonts w:ascii="楷体" w:hAnsi="楷体" w:eastAsia="楷体"/>
          <w:b/>
          <w:szCs w:val="21"/>
        </w:rPr>
      </w:pPr>
      <w:r>
        <w:rPr>
          <w:rFonts w:hint="eastAsia" w:ascii="楷体" w:hAnsi="楷体" w:eastAsia="楷体"/>
          <w:b/>
          <w:szCs w:val="21"/>
        </w:rPr>
        <w:t xml:space="preserve">甲方（盖章）：                             </w:t>
      </w:r>
      <w:r>
        <w:rPr>
          <w:rFonts w:ascii="楷体" w:hAnsi="楷体" w:eastAsia="楷体"/>
          <w:b/>
          <w:szCs w:val="21"/>
        </w:rPr>
        <w:t xml:space="preserve">              </w:t>
      </w:r>
      <w:r>
        <w:rPr>
          <w:rFonts w:hint="eastAsia" w:ascii="楷体" w:hAnsi="楷体" w:eastAsia="楷体"/>
          <w:b/>
          <w:szCs w:val="21"/>
        </w:rPr>
        <w:t>乙方（盖章）：上海汇付数据服务有限公司</w:t>
      </w:r>
    </w:p>
    <w:p>
      <w:pPr>
        <w:rPr>
          <w:rFonts w:ascii="楷体" w:hAnsi="楷体" w:eastAsia="楷体"/>
          <w:szCs w:val="21"/>
        </w:rPr>
      </w:pPr>
      <w:r>
        <w:rPr>
          <w:rFonts w:hint="eastAsia" w:ascii="楷体" w:hAnsi="楷体" w:eastAsia="楷体"/>
          <w:szCs w:val="21"/>
        </w:rPr>
        <w:t>法定代表人(或授权代表人)签字：</w:t>
      </w:r>
      <w:r>
        <w:rPr>
          <w:rFonts w:hint="eastAsia" w:ascii="楷体" w:hAnsi="楷体" w:eastAsia="楷体"/>
          <w:szCs w:val="21"/>
          <w:u w:val="single"/>
        </w:rPr>
        <w:t xml:space="preserve">          </w:t>
      </w:r>
      <w:r>
        <w:rPr>
          <w:rFonts w:ascii="楷体" w:hAnsi="楷体" w:eastAsia="楷体"/>
          <w:szCs w:val="21"/>
          <w:u w:val="single"/>
        </w:rPr>
        <w:t xml:space="preserve">      </w:t>
      </w:r>
      <w:r>
        <w:rPr>
          <w:rFonts w:ascii="楷体" w:hAnsi="楷体" w:eastAsia="楷体"/>
          <w:szCs w:val="21"/>
        </w:rPr>
        <w:t xml:space="preserve">          </w:t>
      </w:r>
      <w:r>
        <w:rPr>
          <w:rFonts w:hint="eastAsia" w:ascii="楷体" w:hAnsi="楷体" w:eastAsia="楷体"/>
          <w:szCs w:val="21"/>
        </w:rPr>
        <w:t>法定代表人(或授权代表人)签字：</w:t>
      </w:r>
      <w:r>
        <w:rPr>
          <w:rFonts w:hint="eastAsia" w:ascii="楷体" w:hAnsi="楷体" w:eastAsia="楷体"/>
          <w:szCs w:val="21"/>
          <w:u w:val="single"/>
        </w:rPr>
        <w:t xml:space="preserve"> </w:t>
      </w:r>
      <w:r>
        <w:rPr>
          <w:rFonts w:ascii="楷体" w:hAnsi="楷体" w:eastAsia="楷体"/>
          <w:szCs w:val="21"/>
          <w:u w:val="single"/>
        </w:rPr>
        <w:t xml:space="preserve">              </w:t>
      </w:r>
    </w:p>
    <w:p>
      <w:pPr>
        <w:jc w:val="right"/>
        <w:rPr>
          <w:rFonts w:ascii="楷体" w:hAnsi="楷体" w:eastAsia="楷体"/>
          <w:szCs w:val="21"/>
        </w:rPr>
      </w:pPr>
      <w:r>
        <w:rPr>
          <w:rFonts w:hint="eastAsia" w:ascii="楷体" w:hAnsi="楷体" w:eastAsia="楷体"/>
          <w:szCs w:val="21"/>
        </w:rPr>
        <w:t>签署日期：</w:t>
      </w:r>
      <w:permStart w:id="59" w:edGrp="everyone"/>
      <w:r>
        <w:rPr>
          <w:rFonts w:hint="eastAsia" w:ascii="楷体" w:hAnsi="楷体" w:eastAsia="楷体"/>
          <w:szCs w:val="21"/>
        </w:rPr>
        <w:t xml:space="preserve">     </w:t>
      </w:r>
      <w:permEnd w:id="59"/>
      <w:r>
        <w:rPr>
          <w:rFonts w:hint="eastAsia" w:ascii="楷体" w:hAnsi="楷体" w:eastAsia="楷体"/>
          <w:szCs w:val="21"/>
        </w:rPr>
        <w:t>年</w:t>
      </w:r>
      <w:permStart w:id="60" w:edGrp="everyone"/>
      <w:r>
        <w:rPr>
          <w:rFonts w:hint="eastAsia" w:ascii="楷体" w:hAnsi="楷体" w:eastAsia="楷体"/>
          <w:szCs w:val="21"/>
        </w:rPr>
        <w:t xml:space="preserve">    </w:t>
      </w:r>
      <w:permEnd w:id="60"/>
      <w:r>
        <w:rPr>
          <w:rFonts w:hint="eastAsia" w:ascii="楷体" w:hAnsi="楷体" w:eastAsia="楷体"/>
          <w:szCs w:val="21"/>
        </w:rPr>
        <w:t>月</w:t>
      </w:r>
      <w:permStart w:id="61" w:edGrp="everyone"/>
      <w:r>
        <w:rPr>
          <w:rFonts w:hint="eastAsia" w:ascii="楷体" w:hAnsi="楷体" w:eastAsia="楷体"/>
          <w:szCs w:val="21"/>
        </w:rPr>
        <w:t xml:space="preserve">   </w:t>
      </w:r>
      <w:permEnd w:id="61"/>
      <w:r>
        <w:rPr>
          <w:rFonts w:hint="eastAsia" w:ascii="楷体" w:hAnsi="楷体" w:eastAsia="楷体"/>
          <w:szCs w:val="21"/>
        </w:rPr>
        <w:t>日</w:t>
      </w:r>
      <w:r>
        <w:rPr>
          <w:rFonts w:ascii="楷体" w:hAnsi="楷体" w:eastAsia="楷体"/>
          <w:szCs w:val="21"/>
        </w:rPr>
        <w:br w:type="page"/>
      </w:r>
    </w:p>
    <w:p>
      <w:pPr>
        <w:jc w:val="right"/>
        <w:rPr>
          <w:rFonts w:ascii="楷体" w:hAnsi="楷体" w:eastAsia="楷体"/>
          <w:szCs w:val="21"/>
        </w:rPr>
      </w:pPr>
    </w:p>
    <w:p>
      <w:pPr>
        <w:widowControl/>
        <w:jc w:val="left"/>
        <w:rPr>
          <w:rFonts w:ascii="楷体" w:hAnsi="楷体" w:eastAsia="楷体"/>
          <w:szCs w:val="21"/>
        </w:rPr>
      </w:pPr>
      <w:r>
        <w:rPr>
          <w:rFonts w:hint="eastAsia" w:ascii="楷体" w:hAnsi="楷体" w:eastAsia="楷体"/>
          <w:szCs w:val="21"/>
        </w:rPr>
        <w:t>鉴于：</w:t>
      </w:r>
    </w:p>
    <w:p>
      <w:pPr>
        <w:adjustRightInd w:val="0"/>
        <w:snapToGrid w:val="0"/>
        <w:ind w:firstLine="420" w:firstLineChars="200"/>
        <w:rPr>
          <w:rFonts w:ascii="楷体" w:hAnsi="楷体" w:eastAsia="楷体"/>
          <w:szCs w:val="21"/>
        </w:rPr>
      </w:pPr>
      <w:r>
        <w:rPr>
          <w:rFonts w:hint="eastAsia" w:ascii="楷体" w:hAnsi="楷体" w:eastAsia="楷体"/>
          <w:szCs w:val="21"/>
        </w:rPr>
        <w:t>甲方</w:t>
      </w:r>
      <w:r>
        <w:rPr>
          <w:rFonts w:ascii="楷体" w:hAnsi="楷体" w:eastAsia="楷体"/>
          <w:szCs w:val="21"/>
        </w:rPr>
        <w:t>为</w:t>
      </w:r>
      <w:r>
        <w:rPr>
          <w:rFonts w:hint="eastAsia" w:ascii="楷体" w:hAnsi="楷体" w:eastAsia="楷体"/>
          <w:szCs w:val="21"/>
        </w:rPr>
        <w:t>有银行卡收单业务服务的</w:t>
      </w:r>
      <w:r>
        <w:rPr>
          <w:rFonts w:ascii="楷体" w:hAnsi="楷体" w:eastAsia="楷体"/>
          <w:szCs w:val="21"/>
        </w:rPr>
        <w:t>需求</w:t>
      </w:r>
      <w:r>
        <w:rPr>
          <w:rFonts w:hint="eastAsia" w:ascii="楷体" w:hAnsi="楷体" w:eastAsia="楷体"/>
          <w:szCs w:val="21"/>
        </w:rPr>
        <w:t>、</w:t>
      </w:r>
      <w:r>
        <w:rPr>
          <w:rFonts w:ascii="楷体" w:hAnsi="楷体" w:eastAsia="楷体"/>
          <w:szCs w:val="21"/>
        </w:rPr>
        <w:t>依法成立并有效存续的</w:t>
      </w:r>
      <w:r>
        <w:rPr>
          <w:rFonts w:hint="eastAsia" w:ascii="楷体" w:hAnsi="楷体" w:eastAsia="楷体"/>
          <w:szCs w:val="21"/>
        </w:rPr>
        <w:t>法律主体；</w:t>
      </w:r>
    </w:p>
    <w:p>
      <w:pPr>
        <w:adjustRightInd w:val="0"/>
        <w:snapToGrid w:val="0"/>
        <w:ind w:firstLine="420" w:firstLineChars="200"/>
        <w:rPr>
          <w:rFonts w:ascii="楷体" w:hAnsi="楷体" w:eastAsia="楷体"/>
          <w:szCs w:val="21"/>
        </w:rPr>
      </w:pPr>
      <w:r>
        <w:rPr>
          <w:rFonts w:hint="eastAsia" w:ascii="楷体" w:hAnsi="楷体" w:eastAsia="楷体"/>
          <w:szCs w:val="21"/>
        </w:rPr>
        <w:t>乙方</w:t>
      </w:r>
      <w:r>
        <w:rPr>
          <w:rFonts w:ascii="楷体" w:hAnsi="楷体" w:eastAsia="楷体"/>
          <w:szCs w:val="21"/>
        </w:rPr>
        <w:t>为经</w:t>
      </w:r>
      <w:r>
        <w:rPr>
          <w:rFonts w:hint="eastAsia" w:ascii="楷体" w:hAnsi="楷体" w:eastAsia="楷体"/>
          <w:szCs w:val="21"/>
        </w:rPr>
        <w:t>中国</w:t>
      </w:r>
      <w:r>
        <w:rPr>
          <w:rFonts w:ascii="楷体" w:hAnsi="楷体" w:eastAsia="楷体"/>
          <w:szCs w:val="21"/>
        </w:rPr>
        <w:t>人民银行许可</w:t>
      </w:r>
      <w:r>
        <w:rPr>
          <w:rFonts w:hint="eastAsia" w:ascii="楷体" w:hAnsi="楷体" w:eastAsia="楷体"/>
          <w:szCs w:val="21"/>
        </w:rPr>
        <w:t>、持有中国人民银行颁发的</w:t>
      </w:r>
      <w:r>
        <w:fldChar w:fldCharType="begin"/>
      </w:r>
      <w:r>
        <w:instrText xml:space="preserve"> HYPERLINK "http://www.chinapnr.com/news/wp-content/uploads/licence-big.jpg" </w:instrText>
      </w:r>
      <w:r>
        <w:fldChar w:fldCharType="separate"/>
      </w:r>
      <w:r>
        <w:rPr>
          <w:rFonts w:hint="eastAsia" w:ascii="楷体" w:hAnsi="楷体" w:eastAsia="楷体"/>
          <w:szCs w:val="21"/>
        </w:rPr>
        <w:t>《</w:t>
      </w:r>
      <w:r>
        <w:rPr>
          <w:rFonts w:hint="eastAsia" w:ascii="楷体" w:hAnsi="楷体" w:eastAsia="楷体"/>
          <w:szCs w:val="21"/>
        </w:rPr>
        <w:fldChar w:fldCharType="end"/>
      </w:r>
      <w:r>
        <w:rPr>
          <w:rFonts w:hint="eastAsia" w:ascii="楷体" w:hAnsi="楷体" w:eastAsia="楷体"/>
          <w:szCs w:val="21"/>
        </w:rPr>
        <w:t>支付业务许可证</w:t>
      </w:r>
      <w:r>
        <w:fldChar w:fldCharType="begin"/>
      </w:r>
      <w:r>
        <w:instrText xml:space="preserve"> HYPERLINK "http://www.chinapnr.com/news/wp-content/uploads/licence-big.jpg" </w:instrText>
      </w:r>
      <w:r>
        <w:fldChar w:fldCharType="separate"/>
      </w:r>
      <w:r>
        <w:rPr>
          <w:rFonts w:hint="eastAsia" w:ascii="楷体" w:hAnsi="楷体" w:eastAsia="楷体"/>
          <w:szCs w:val="21"/>
        </w:rPr>
        <w:t>》</w:t>
      </w:r>
      <w:r>
        <w:rPr>
          <w:rFonts w:hint="eastAsia" w:ascii="楷体" w:hAnsi="楷体" w:eastAsia="楷体"/>
          <w:szCs w:val="21"/>
        </w:rPr>
        <w:fldChar w:fldCharType="end"/>
      </w:r>
      <w:r>
        <w:rPr>
          <w:rFonts w:ascii="楷体" w:hAnsi="楷体" w:eastAsia="楷体"/>
          <w:szCs w:val="21"/>
        </w:rPr>
        <w:t>，</w:t>
      </w:r>
      <w:r>
        <w:rPr>
          <w:rFonts w:hint="eastAsia" w:ascii="楷体" w:hAnsi="楷体" w:eastAsia="楷体"/>
          <w:szCs w:val="21"/>
        </w:rPr>
        <w:t>专业</w:t>
      </w:r>
      <w:r>
        <w:rPr>
          <w:rFonts w:ascii="楷体" w:hAnsi="楷体" w:eastAsia="楷体"/>
          <w:szCs w:val="21"/>
        </w:rPr>
        <w:t>从事银行卡收单及</w:t>
      </w:r>
      <w:r>
        <w:rPr>
          <w:rFonts w:hint="eastAsia" w:ascii="楷体" w:hAnsi="楷体" w:eastAsia="楷体"/>
          <w:szCs w:val="21"/>
        </w:rPr>
        <w:t>条码</w:t>
      </w:r>
      <w:r>
        <w:rPr>
          <w:rFonts w:ascii="楷体" w:hAnsi="楷体" w:eastAsia="楷体"/>
          <w:szCs w:val="21"/>
        </w:rPr>
        <w:t>支付</w:t>
      </w:r>
      <w:r>
        <w:rPr>
          <w:rFonts w:hint="eastAsia" w:ascii="楷体" w:hAnsi="楷体" w:eastAsia="楷体"/>
          <w:szCs w:val="21"/>
        </w:rPr>
        <w:t>等业务</w:t>
      </w:r>
      <w:r>
        <w:rPr>
          <w:rFonts w:ascii="楷体" w:hAnsi="楷体" w:eastAsia="楷体"/>
          <w:szCs w:val="21"/>
        </w:rPr>
        <w:t>服务的</w:t>
      </w:r>
      <w:r>
        <w:rPr>
          <w:rFonts w:hint="eastAsia" w:ascii="楷体" w:hAnsi="楷体" w:eastAsia="楷体"/>
          <w:szCs w:val="21"/>
        </w:rPr>
        <w:t>第三方支付</w:t>
      </w:r>
      <w:r>
        <w:rPr>
          <w:rFonts w:ascii="楷体" w:hAnsi="楷体" w:eastAsia="楷体"/>
          <w:szCs w:val="21"/>
        </w:rPr>
        <w:t>机构。</w:t>
      </w:r>
    </w:p>
    <w:p>
      <w:pPr>
        <w:adjustRightInd w:val="0"/>
        <w:snapToGrid w:val="0"/>
        <w:ind w:firstLine="420" w:firstLineChars="200"/>
        <w:rPr>
          <w:rFonts w:ascii="楷体" w:hAnsi="楷体" w:eastAsia="楷体"/>
          <w:szCs w:val="21"/>
        </w:rPr>
      </w:pPr>
      <w:r>
        <w:rPr>
          <w:rFonts w:hint="eastAsia" w:ascii="楷体" w:hAnsi="楷体" w:eastAsia="楷体"/>
          <w:szCs w:val="21"/>
        </w:rPr>
        <w:t>双方本着平等互利、诚实信用的原则，经友好协商签订本协议。</w:t>
      </w:r>
    </w:p>
    <w:p>
      <w:pPr>
        <w:adjustRightInd w:val="0"/>
        <w:snapToGrid w:val="0"/>
        <w:ind w:firstLine="422" w:firstLineChars="200"/>
        <w:rPr>
          <w:rFonts w:ascii="楷体" w:hAnsi="楷体" w:eastAsia="楷体"/>
          <w:b/>
          <w:szCs w:val="21"/>
        </w:rPr>
      </w:pPr>
      <w:r>
        <w:rPr>
          <w:rFonts w:hint="eastAsia" w:ascii="楷体" w:hAnsi="楷体" w:eastAsia="楷体"/>
          <w:b/>
          <w:szCs w:val="21"/>
        </w:rPr>
        <w:t>甲方声明：乙方已采取合理方式提请其注意本协议的全部条款，并对其内容进行了充分说明。甲方自愿同意按照本协议的约定行使权利和履行义务。</w:t>
      </w:r>
    </w:p>
    <w:p>
      <w:pPr>
        <w:adjustRightInd w:val="0"/>
        <w:snapToGrid w:val="0"/>
        <w:rPr>
          <w:rFonts w:ascii="楷体" w:hAnsi="楷体" w:eastAsia="楷体"/>
          <w:b/>
          <w:szCs w:val="21"/>
        </w:rPr>
      </w:pPr>
    </w:p>
    <w:p>
      <w:pPr>
        <w:pStyle w:val="12"/>
        <w:numPr>
          <w:ilvl w:val="0"/>
          <w:numId w:val="1"/>
        </w:numPr>
        <w:ind w:firstLineChars="0"/>
        <w:jc w:val="center"/>
        <w:rPr>
          <w:rFonts w:ascii="楷体" w:hAnsi="楷体" w:eastAsia="楷体"/>
          <w:b/>
          <w:szCs w:val="21"/>
        </w:rPr>
      </w:pPr>
      <w:r>
        <w:rPr>
          <w:rFonts w:hint="eastAsia" w:ascii="楷体" w:hAnsi="楷体" w:eastAsia="楷体"/>
          <w:b/>
          <w:szCs w:val="21"/>
        </w:rPr>
        <w:t>释义</w:t>
      </w:r>
    </w:p>
    <w:p>
      <w:pPr>
        <w:pStyle w:val="12"/>
        <w:numPr>
          <w:ilvl w:val="0"/>
          <w:numId w:val="2"/>
        </w:numPr>
        <w:ind w:firstLineChars="0"/>
        <w:rPr>
          <w:rFonts w:ascii="楷体" w:hAnsi="楷体" w:eastAsia="楷体"/>
          <w:szCs w:val="21"/>
        </w:rPr>
      </w:pPr>
      <w:r>
        <w:rPr>
          <w:rFonts w:hint="eastAsia" w:ascii="楷体" w:hAnsi="楷体" w:eastAsia="楷体"/>
          <w:b/>
          <w:szCs w:val="21"/>
        </w:rPr>
        <w:t>特约商户:</w:t>
      </w:r>
      <w:r>
        <w:rPr>
          <w:rFonts w:hint="eastAsia" w:ascii="楷体" w:hAnsi="楷体" w:eastAsia="楷体"/>
          <w:szCs w:val="21"/>
        </w:rPr>
        <w:t>指与收单机构(本协议特指乙方)签订银行卡受理协议、按约定受理银行卡并委托收单机构为其完成交易资金结算的企事业单位、个体工商户或其他组织(本协议特指甲方)。实体特约商户，是指通过实体经营场所提供商品或服务的特约商户。</w:t>
      </w:r>
    </w:p>
    <w:p>
      <w:pPr>
        <w:pStyle w:val="12"/>
        <w:numPr>
          <w:ilvl w:val="0"/>
          <w:numId w:val="2"/>
        </w:numPr>
        <w:ind w:firstLineChars="0"/>
        <w:rPr>
          <w:rFonts w:ascii="楷体" w:hAnsi="楷体" w:eastAsia="楷体"/>
          <w:szCs w:val="21"/>
        </w:rPr>
      </w:pPr>
      <w:r>
        <w:rPr>
          <w:rFonts w:hint="eastAsia" w:ascii="楷体" w:hAnsi="楷体" w:eastAsia="楷体"/>
          <w:b/>
          <w:szCs w:val="21"/>
        </w:rPr>
        <w:t>银行卡收单:</w:t>
      </w:r>
      <w:r>
        <w:rPr>
          <w:rFonts w:hint="eastAsia" w:ascii="楷体" w:hAnsi="楷体" w:eastAsia="楷体"/>
          <w:szCs w:val="21"/>
        </w:rPr>
        <w:t>指乙方</w:t>
      </w:r>
      <w:r>
        <w:rPr>
          <w:rFonts w:ascii="楷体" w:hAnsi="楷体" w:eastAsia="楷体"/>
          <w:szCs w:val="21"/>
        </w:rPr>
        <w:t>按本协议</w:t>
      </w:r>
      <w:r>
        <w:rPr>
          <w:rFonts w:hint="eastAsia" w:ascii="楷体" w:hAnsi="楷体" w:eastAsia="楷体"/>
          <w:szCs w:val="21"/>
        </w:rPr>
        <w:t>银行卡收单</w:t>
      </w:r>
      <w:r>
        <w:rPr>
          <w:rFonts w:ascii="楷体" w:hAnsi="楷体" w:eastAsia="楷体"/>
          <w:szCs w:val="21"/>
        </w:rPr>
        <w:t>条款约定</w:t>
      </w:r>
      <w:r>
        <w:rPr>
          <w:rFonts w:hint="eastAsia" w:ascii="楷体" w:hAnsi="楷体" w:eastAsia="楷体"/>
          <w:szCs w:val="21"/>
        </w:rPr>
        <w:t>，</w:t>
      </w:r>
      <w:r>
        <w:rPr>
          <w:rFonts w:ascii="楷体" w:hAnsi="楷体" w:eastAsia="楷体"/>
          <w:szCs w:val="21"/>
        </w:rPr>
        <w:t>甲方</w:t>
      </w:r>
      <w:r>
        <w:rPr>
          <w:rFonts w:hint="eastAsia" w:ascii="楷体" w:hAnsi="楷体" w:eastAsia="楷体"/>
          <w:szCs w:val="21"/>
        </w:rPr>
        <w:t>作为乙方</w:t>
      </w:r>
      <w:r>
        <w:rPr>
          <w:rFonts w:ascii="楷体" w:hAnsi="楷体" w:eastAsia="楷体"/>
          <w:szCs w:val="21"/>
        </w:rPr>
        <w:t>的实体特约商户，按约定受理银行卡并</w:t>
      </w:r>
      <w:r>
        <w:rPr>
          <w:rFonts w:hint="eastAsia" w:ascii="楷体" w:hAnsi="楷体" w:eastAsia="楷体"/>
          <w:szCs w:val="21"/>
        </w:rPr>
        <w:t>与客户</w:t>
      </w:r>
      <w:r>
        <w:rPr>
          <w:rFonts w:ascii="楷体" w:hAnsi="楷体" w:eastAsia="楷体"/>
          <w:szCs w:val="21"/>
        </w:rPr>
        <w:t>达成交易后，</w:t>
      </w:r>
      <w:r>
        <w:rPr>
          <w:rFonts w:hint="eastAsia" w:ascii="楷体" w:hAnsi="楷体" w:eastAsia="楷体"/>
          <w:szCs w:val="21"/>
        </w:rPr>
        <w:t>乙方</w:t>
      </w:r>
      <w:r>
        <w:rPr>
          <w:rFonts w:ascii="楷体" w:hAnsi="楷体" w:eastAsia="楷体"/>
          <w:szCs w:val="21"/>
        </w:rPr>
        <w:t>作为</w:t>
      </w:r>
      <w:r>
        <w:rPr>
          <w:rFonts w:hint="eastAsia" w:ascii="楷体" w:hAnsi="楷体" w:eastAsia="楷体"/>
          <w:szCs w:val="21"/>
        </w:rPr>
        <w:t>收单机构为甲方提供交易资金结算服务的行为。</w:t>
      </w:r>
    </w:p>
    <w:p>
      <w:pPr>
        <w:pStyle w:val="12"/>
        <w:numPr>
          <w:ilvl w:val="0"/>
          <w:numId w:val="2"/>
        </w:numPr>
        <w:ind w:firstLineChars="0"/>
        <w:rPr>
          <w:rFonts w:ascii="楷体" w:hAnsi="楷体" w:eastAsia="楷体"/>
          <w:szCs w:val="21"/>
        </w:rPr>
      </w:pPr>
      <w:r>
        <w:rPr>
          <w:rFonts w:hint="eastAsia" w:ascii="楷体" w:hAnsi="楷体" w:eastAsia="楷体"/>
          <w:b/>
          <w:szCs w:val="21"/>
        </w:rPr>
        <w:t>网络支付:</w:t>
      </w:r>
      <w:r>
        <w:rPr>
          <w:rFonts w:hint="eastAsia" w:ascii="楷体" w:hAnsi="楷体" w:eastAsia="楷体"/>
          <w:szCs w:val="21"/>
        </w:rPr>
        <w:t>指甲方</w:t>
      </w:r>
      <w:r>
        <w:rPr>
          <w:rFonts w:ascii="楷体" w:hAnsi="楷体" w:eastAsia="楷体"/>
          <w:szCs w:val="21"/>
        </w:rPr>
        <w:t>基于</w:t>
      </w:r>
      <w:r>
        <w:rPr>
          <w:rFonts w:hint="eastAsia" w:ascii="楷体" w:hAnsi="楷体" w:eastAsia="楷体"/>
          <w:szCs w:val="21"/>
        </w:rPr>
        <w:t>与客户</w:t>
      </w:r>
      <w:r>
        <w:rPr>
          <w:rFonts w:ascii="楷体" w:hAnsi="楷体" w:eastAsia="楷体"/>
          <w:szCs w:val="21"/>
        </w:rPr>
        <w:t>的</w:t>
      </w:r>
      <w:r>
        <w:rPr>
          <w:rFonts w:hint="eastAsia" w:ascii="楷体" w:hAnsi="楷体" w:eastAsia="楷体"/>
          <w:szCs w:val="21"/>
        </w:rPr>
        <w:t>交易约定</w:t>
      </w:r>
      <w:r>
        <w:rPr>
          <w:rFonts w:ascii="楷体" w:hAnsi="楷体" w:eastAsia="楷体"/>
          <w:szCs w:val="21"/>
        </w:rPr>
        <w:t>，</w:t>
      </w:r>
      <w:r>
        <w:rPr>
          <w:rFonts w:hint="eastAsia" w:ascii="楷体" w:hAnsi="楷体" w:eastAsia="楷体"/>
          <w:szCs w:val="21"/>
        </w:rPr>
        <w:t>乙方</w:t>
      </w:r>
      <w:r>
        <w:rPr>
          <w:rFonts w:ascii="楷体" w:hAnsi="楷体" w:eastAsia="楷体"/>
          <w:szCs w:val="21"/>
        </w:rPr>
        <w:t>按照本协议网络支付条款的约定，</w:t>
      </w:r>
      <w:r>
        <w:rPr>
          <w:rFonts w:hint="eastAsia" w:ascii="楷体" w:hAnsi="楷体" w:eastAsia="楷体"/>
          <w:szCs w:val="21"/>
        </w:rPr>
        <w:t>甲方作为</w:t>
      </w:r>
      <w:r>
        <w:rPr>
          <w:rFonts w:ascii="楷体" w:hAnsi="楷体" w:eastAsia="楷体"/>
          <w:szCs w:val="21"/>
        </w:rPr>
        <w:t>乙方的</w:t>
      </w:r>
      <w:r>
        <w:rPr>
          <w:rFonts w:hint="eastAsia" w:ascii="楷体" w:hAnsi="楷体" w:eastAsia="楷体"/>
          <w:szCs w:val="21"/>
        </w:rPr>
        <w:t>网络</w:t>
      </w:r>
      <w:r>
        <w:rPr>
          <w:rFonts w:ascii="楷体" w:hAnsi="楷体" w:eastAsia="楷体"/>
          <w:szCs w:val="21"/>
        </w:rPr>
        <w:t>特约商户，</w:t>
      </w:r>
      <w:r>
        <w:rPr>
          <w:rFonts w:hint="eastAsia" w:ascii="楷体" w:hAnsi="楷体" w:eastAsia="楷体"/>
          <w:szCs w:val="21"/>
        </w:rPr>
        <w:t>依托</w:t>
      </w:r>
      <w:r>
        <w:rPr>
          <w:rFonts w:ascii="楷体" w:hAnsi="楷体" w:eastAsia="楷体"/>
          <w:szCs w:val="21"/>
        </w:rPr>
        <w:t>互联网远程</w:t>
      </w:r>
      <w:r>
        <w:rPr>
          <w:rFonts w:hint="eastAsia" w:ascii="楷体" w:hAnsi="楷体" w:eastAsia="楷体"/>
          <w:szCs w:val="21"/>
        </w:rPr>
        <w:t>向乙方</w:t>
      </w:r>
      <w:r>
        <w:rPr>
          <w:rFonts w:ascii="楷体" w:hAnsi="楷体" w:eastAsia="楷体"/>
          <w:szCs w:val="21"/>
        </w:rPr>
        <w:t>发起支付指令，</w:t>
      </w:r>
      <w:r>
        <w:rPr>
          <w:rFonts w:hint="eastAsia" w:ascii="楷体" w:hAnsi="楷体" w:eastAsia="楷体"/>
          <w:szCs w:val="21"/>
        </w:rPr>
        <w:t>乙方为甲方提供</w:t>
      </w:r>
      <w:r>
        <w:rPr>
          <w:rFonts w:ascii="楷体" w:hAnsi="楷体" w:eastAsia="楷体"/>
          <w:szCs w:val="21"/>
        </w:rPr>
        <w:t>收款或付款等</w:t>
      </w:r>
      <w:r>
        <w:rPr>
          <w:rFonts w:hint="eastAsia" w:ascii="楷体" w:hAnsi="楷体" w:eastAsia="楷体"/>
          <w:szCs w:val="21"/>
        </w:rPr>
        <w:t>货币资金转移服务的活动</w:t>
      </w:r>
      <w:r>
        <w:rPr>
          <w:rFonts w:ascii="楷体" w:hAnsi="楷体" w:eastAsia="楷体"/>
          <w:szCs w:val="21"/>
        </w:rPr>
        <w:t>。</w:t>
      </w:r>
    </w:p>
    <w:p>
      <w:pPr>
        <w:pStyle w:val="12"/>
        <w:numPr>
          <w:ilvl w:val="0"/>
          <w:numId w:val="2"/>
        </w:numPr>
        <w:ind w:firstLineChars="0"/>
        <w:rPr>
          <w:rFonts w:ascii="楷体" w:hAnsi="楷体" w:eastAsia="楷体"/>
          <w:szCs w:val="21"/>
        </w:rPr>
      </w:pPr>
      <w:r>
        <w:rPr>
          <w:rFonts w:hint="eastAsia" w:ascii="楷体" w:hAnsi="楷体" w:eastAsia="楷体"/>
          <w:b/>
          <w:szCs w:val="21"/>
        </w:rPr>
        <w:t>条码支付：</w:t>
      </w:r>
      <w:r>
        <w:rPr>
          <w:rFonts w:hint="eastAsia" w:ascii="楷体" w:hAnsi="楷体" w:eastAsia="楷体"/>
          <w:szCs w:val="21"/>
        </w:rPr>
        <w:t>指</w:t>
      </w:r>
      <w:r>
        <w:rPr>
          <w:rFonts w:ascii="楷体" w:hAnsi="楷体" w:eastAsia="楷体"/>
          <w:szCs w:val="21"/>
        </w:rPr>
        <w:t>乙方应用条码技术，</w:t>
      </w:r>
      <w:r>
        <w:rPr>
          <w:rFonts w:hint="eastAsia" w:ascii="楷体" w:hAnsi="楷体" w:eastAsia="楷体"/>
          <w:szCs w:val="21"/>
        </w:rPr>
        <w:t>受甲方委托</w:t>
      </w:r>
      <w:r>
        <w:rPr>
          <w:rFonts w:ascii="楷体" w:hAnsi="楷体" w:eastAsia="楷体"/>
          <w:szCs w:val="21"/>
        </w:rPr>
        <w:t>实现</w:t>
      </w:r>
      <w:r>
        <w:rPr>
          <w:rFonts w:hint="eastAsia" w:ascii="楷体" w:hAnsi="楷体" w:eastAsia="楷体"/>
          <w:szCs w:val="21"/>
        </w:rPr>
        <w:t>甲方作为特约商户经营进行的</w:t>
      </w:r>
      <w:r>
        <w:rPr>
          <w:rFonts w:ascii="楷体" w:hAnsi="楷体" w:eastAsia="楷体"/>
          <w:szCs w:val="21"/>
        </w:rPr>
        <w:t>货币资金转移的业务活动。</w:t>
      </w:r>
    </w:p>
    <w:p>
      <w:pPr>
        <w:pStyle w:val="12"/>
        <w:numPr>
          <w:ilvl w:val="0"/>
          <w:numId w:val="2"/>
        </w:numPr>
        <w:ind w:firstLineChars="0"/>
        <w:rPr>
          <w:rFonts w:ascii="楷体" w:hAnsi="楷体" w:eastAsia="楷体"/>
          <w:szCs w:val="21"/>
        </w:rPr>
      </w:pPr>
      <w:r>
        <w:rPr>
          <w:rFonts w:hint="eastAsia" w:ascii="楷体" w:hAnsi="楷体" w:eastAsia="楷体"/>
          <w:b/>
          <w:szCs w:val="21"/>
        </w:rPr>
        <w:t>受理终端</w:t>
      </w:r>
      <w:r>
        <w:rPr>
          <w:rFonts w:hint="eastAsia" w:ascii="楷体" w:hAnsi="楷体" w:eastAsia="楷体"/>
          <w:szCs w:val="21"/>
        </w:rPr>
        <w:t>：是指布放在特约商户经营场所，用以与持卡人交互，实现甲方收款信息向乙方传输的设备，包括但不限于智能受理终端机具、标签台牌、扫码枪、条码支付台牌等。</w:t>
      </w:r>
    </w:p>
    <w:p>
      <w:pPr>
        <w:pStyle w:val="12"/>
        <w:numPr>
          <w:ilvl w:val="0"/>
          <w:numId w:val="2"/>
        </w:numPr>
        <w:ind w:firstLineChars="0"/>
        <w:rPr>
          <w:rFonts w:ascii="楷体" w:hAnsi="楷体" w:eastAsia="楷体"/>
          <w:szCs w:val="21"/>
        </w:rPr>
      </w:pPr>
      <w:r>
        <w:rPr>
          <w:rFonts w:hint="eastAsia" w:ascii="楷体" w:hAnsi="楷体" w:eastAsia="楷体"/>
          <w:b/>
          <w:szCs w:val="21"/>
        </w:rPr>
        <w:t>交易：</w:t>
      </w:r>
      <w:r>
        <w:rPr>
          <w:rFonts w:hint="eastAsia" w:ascii="楷体" w:hAnsi="楷体" w:eastAsia="楷体"/>
          <w:szCs w:val="21"/>
        </w:rPr>
        <w:t>指甲方经营的实体特约商户依法</w:t>
      </w:r>
      <w:r>
        <w:rPr>
          <w:rFonts w:ascii="楷体" w:hAnsi="楷体" w:eastAsia="楷体"/>
          <w:szCs w:val="21"/>
        </w:rPr>
        <w:t>进行的</w:t>
      </w:r>
      <w:r>
        <w:rPr>
          <w:rFonts w:hint="eastAsia" w:ascii="楷体" w:hAnsi="楷体" w:eastAsia="楷体"/>
          <w:szCs w:val="21"/>
        </w:rPr>
        <w:t>货物</w:t>
      </w:r>
      <w:r>
        <w:rPr>
          <w:rFonts w:ascii="楷体" w:hAnsi="楷体" w:eastAsia="楷体"/>
          <w:szCs w:val="21"/>
        </w:rPr>
        <w:t>或服务</w:t>
      </w:r>
      <w:r>
        <w:rPr>
          <w:rFonts w:hint="eastAsia" w:ascii="楷体" w:hAnsi="楷体" w:eastAsia="楷体"/>
          <w:szCs w:val="21"/>
        </w:rPr>
        <w:t>贸易。</w:t>
      </w:r>
    </w:p>
    <w:p>
      <w:pPr>
        <w:pStyle w:val="12"/>
        <w:numPr>
          <w:ilvl w:val="0"/>
          <w:numId w:val="2"/>
        </w:numPr>
        <w:ind w:firstLineChars="0"/>
        <w:rPr>
          <w:rFonts w:ascii="楷体" w:hAnsi="楷体" w:eastAsia="楷体"/>
          <w:szCs w:val="21"/>
        </w:rPr>
      </w:pPr>
      <w:r>
        <w:rPr>
          <w:rFonts w:hint="eastAsia" w:ascii="楷体" w:hAnsi="楷体" w:eastAsia="楷体"/>
          <w:b/>
          <w:szCs w:val="21"/>
        </w:rPr>
        <w:t>甲方用户：</w:t>
      </w:r>
      <w:r>
        <w:rPr>
          <w:rFonts w:ascii="楷体" w:hAnsi="楷体" w:eastAsia="楷体"/>
          <w:szCs w:val="21"/>
        </w:rPr>
        <w:t>指通过甲方</w:t>
      </w:r>
      <w:r>
        <w:rPr>
          <w:rFonts w:hint="eastAsia" w:ascii="楷体" w:hAnsi="楷体" w:eastAsia="楷体"/>
          <w:szCs w:val="21"/>
        </w:rPr>
        <w:t>经营</w:t>
      </w:r>
      <w:r>
        <w:rPr>
          <w:rFonts w:ascii="楷体" w:hAnsi="楷体" w:eastAsia="楷体"/>
          <w:szCs w:val="21"/>
        </w:rPr>
        <w:t>的</w:t>
      </w:r>
      <w:r>
        <w:rPr>
          <w:rFonts w:hint="eastAsia" w:ascii="楷体" w:hAnsi="楷体" w:eastAsia="楷体"/>
          <w:szCs w:val="21"/>
        </w:rPr>
        <w:t>实体特约商户购买</w:t>
      </w:r>
      <w:r>
        <w:rPr>
          <w:rFonts w:ascii="楷体" w:hAnsi="楷体" w:eastAsia="楷体"/>
          <w:szCs w:val="21"/>
        </w:rPr>
        <w:t>甲方</w:t>
      </w:r>
      <w:r>
        <w:rPr>
          <w:rFonts w:hint="eastAsia" w:ascii="楷体" w:hAnsi="楷体" w:eastAsia="楷体"/>
          <w:szCs w:val="21"/>
        </w:rPr>
        <w:t>提供</w:t>
      </w:r>
      <w:r>
        <w:rPr>
          <w:rFonts w:ascii="楷体" w:hAnsi="楷体" w:eastAsia="楷体"/>
          <w:szCs w:val="21"/>
        </w:rPr>
        <w:t>的货物或服务</w:t>
      </w:r>
      <w:r>
        <w:rPr>
          <w:rFonts w:hint="eastAsia" w:ascii="楷体" w:hAnsi="楷体" w:eastAsia="楷体"/>
          <w:szCs w:val="21"/>
        </w:rPr>
        <w:t>的自然人、</w:t>
      </w:r>
      <w:r>
        <w:rPr>
          <w:rFonts w:ascii="楷体" w:hAnsi="楷体" w:eastAsia="楷体"/>
          <w:szCs w:val="21"/>
        </w:rPr>
        <w:t>法人或其他组织。</w:t>
      </w:r>
    </w:p>
    <w:p>
      <w:pPr>
        <w:pStyle w:val="12"/>
        <w:numPr>
          <w:ilvl w:val="0"/>
          <w:numId w:val="2"/>
        </w:numPr>
        <w:ind w:firstLineChars="0"/>
        <w:rPr>
          <w:rFonts w:ascii="楷体" w:hAnsi="楷体" w:eastAsia="楷体"/>
          <w:szCs w:val="21"/>
        </w:rPr>
      </w:pPr>
      <w:r>
        <w:rPr>
          <w:rFonts w:hint="eastAsia" w:ascii="楷体" w:hAnsi="楷体" w:eastAsia="楷体"/>
          <w:b/>
          <w:szCs w:val="21"/>
        </w:rPr>
        <w:t>持卡人：</w:t>
      </w:r>
      <w:r>
        <w:rPr>
          <w:rFonts w:hint="eastAsia" w:ascii="楷体" w:hAnsi="楷体" w:eastAsia="楷体"/>
          <w:szCs w:val="21"/>
        </w:rPr>
        <w:t>指银行卡的合法持有人，</w:t>
      </w:r>
      <w:r>
        <w:rPr>
          <w:rFonts w:ascii="楷体" w:hAnsi="楷体" w:eastAsia="楷体"/>
          <w:szCs w:val="21"/>
        </w:rPr>
        <w:t>通常为</w:t>
      </w:r>
      <w:r>
        <w:rPr>
          <w:rFonts w:hint="eastAsia" w:ascii="楷体" w:hAnsi="楷体" w:eastAsia="楷体"/>
          <w:szCs w:val="21"/>
        </w:rPr>
        <w:t>“甲方用户</w:t>
      </w:r>
      <w:r>
        <w:rPr>
          <w:rFonts w:ascii="楷体" w:hAnsi="楷体" w:eastAsia="楷体"/>
          <w:szCs w:val="21"/>
        </w:rPr>
        <w:t>”</w:t>
      </w:r>
      <w:r>
        <w:rPr>
          <w:rFonts w:hint="eastAsia" w:ascii="楷体" w:hAnsi="楷体" w:eastAsia="楷体"/>
          <w:szCs w:val="21"/>
        </w:rPr>
        <w:t>。</w:t>
      </w:r>
    </w:p>
    <w:p>
      <w:pPr>
        <w:pStyle w:val="12"/>
        <w:numPr>
          <w:ilvl w:val="0"/>
          <w:numId w:val="2"/>
        </w:numPr>
        <w:ind w:firstLineChars="0"/>
        <w:rPr>
          <w:rFonts w:ascii="楷体" w:hAnsi="楷体" w:eastAsia="楷体"/>
          <w:szCs w:val="21"/>
        </w:rPr>
      </w:pPr>
      <w:r>
        <w:rPr>
          <w:rFonts w:hint="eastAsia" w:ascii="楷体" w:hAnsi="楷体" w:eastAsia="楷体"/>
          <w:b/>
          <w:szCs w:val="21"/>
        </w:rPr>
        <w:t>调单：</w:t>
      </w:r>
      <w:r>
        <w:rPr>
          <w:rFonts w:hint="eastAsia" w:ascii="楷体" w:hAnsi="楷体" w:eastAsia="楷体"/>
          <w:szCs w:val="21"/>
        </w:rPr>
        <w:t>指因持卡人或发卡机构对已经被清算的交易有疑问，在规定时间内发卡机构向收单机构（本协议项下即乙方，下同）提出调阅交易单据的过程，其目的在于确认消费，或进行责任划分。调单时限期满180天(即自交易发生之日起算180天)，满足退单条件的交易，发卡机构可能退单。</w:t>
      </w:r>
    </w:p>
    <w:p>
      <w:pPr>
        <w:pStyle w:val="12"/>
        <w:numPr>
          <w:ilvl w:val="0"/>
          <w:numId w:val="2"/>
        </w:numPr>
        <w:ind w:firstLineChars="0"/>
        <w:rPr>
          <w:rFonts w:ascii="楷体" w:hAnsi="楷体" w:eastAsia="楷体"/>
          <w:szCs w:val="21"/>
        </w:rPr>
      </w:pPr>
      <w:r>
        <w:rPr>
          <w:rFonts w:hint="eastAsia" w:ascii="楷体" w:hAnsi="楷体" w:eastAsia="楷体"/>
          <w:b/>
          <w:szCs w:val="21"/>
        </w:rPr>
        <w:t>退单：</w:t>
      </w:r>
      <w:r>
        <w:rPr>
          <w:rFonts w:hint="eastAsia" w:ascii="楷体" w:hAnsi="楷体" w:eastAsia="楷体"/>
          <w:szCs w:val="21"/>
        </w:rPr>
        <w:t>指发卡机构由于对收单机构请款交易的拒绝或对原始交易的疑问而向收单机构提出的拒绝付款，包括一次退单和二次退单。二次退单是指发卡机构对收单机构提交的消费类再请款交易有异议而向收单机构再次提出的拒绝付款。</w:t>
      </w:r>
    </w:p>
    <w:p>
      <w:pPr>
        <w:pStyle w:val="12"/>
        <w:numPr>
          <w:ilvl w:val="0"/>
          <w:numId w:val="2"/>
        </w:numPr>
        <w:ind w:firstLineChars="0"/>
        <w:rPr>
          <w:rFonts w:ascii="楷体" w:hAnsi="楷体" w:eastAsia="楷体"/>
          <w:szCs w:val="21"/>
        </w:rPr>
      </w:pPr>
      <w:r>
        <w:rPr>
          <w:rFonts w:hint="eastAsia" w:ascii="楷体" w:hAnsi="楷体" w:eastAsia="楷体"/>
          <w:b/>
          <w:szCs w:val="21"/>
        </w:rPr>
        <w:t>先行赔付：</w:t>
      </w:r>
      <w:r>
        <w:rPr>
          <w:rFonts w:hint="eastAsia" w:ascii="楷体" w:hAnsi="楷体" w:eastAsia="楷体"/>
          <w:szCs w:val="21"/>
        </w:rPr>
        <w:t>是指在约定的赔付时效内，商业银行或支付机构(本协议特指乙方)不能有效证明因客户原因导致的资金损失，由商业银行或其委托的支付机构对客户进行资金赔付的行为。</w:t>
      </w:r>
    </w:p>
    <w:p>
      <w:pPr>
        <w:pStyle w:val="12"/>
        <w:numPr>
          <w:ilvl w:val="0"/>
          <w:numId w:val="2"/>
        </w:numPr>
        <w:ind w:firstLineChars="0"/>
        <w:rPr>
          <w:rFonts w:ascii="楷体" w:hAnsi="楷体" w:eastAsia="楷体"/>
          <w:szCs w:val="21"/>
        </w:rPr>
      </w:pPr>
      <w:r>
        <w:rPr>
          <w:rFonts w:hint="eastAsia" w:ascii="楷体" w:hAnsi="楷体" w:eastAsia="楷体"/>
          <w:b/>
          <w:szCs w:val="21"/>
        </w:rPr>
        <w:t>异常交易：</w:t>
      </w:r>
      <w:r>
        <w:rPr>
          <w:rFonts w:hint="eastAsia" w:ascii="楷体" w:hAnsi="楷体" w:eastAsia="楷体"/>
          <w:szCs w:val="21"/>
        </w:rPr>
        <w:t>指甲方使用乙方支付服务或</w:t>
      </w:r>
      <w:r>
        <w:rPr>
          <w:rFonts w:ascii="楷体" w:hAnsi="楷体" w:eastAsia="楷体"/>
          <w:szCs w:val="21"/>
        </w:rPr>
        <w:t>在使用</w:t>
      </w:r>
      <w:r>
        <w:rPr>
          <w:rFonts w:hint="eastAsia" w:ascii="楷体" w:hAnsi="楷体" w:eastAsia="楷体"/>
          <w:szCs w:val="21"/>
        </w:rPr>
        <w:t>乙方</w:t>
      </w:r>
      <w:r>
        <w:rPr>
          <w:rFonts w:ascii="楷体" w:hAnsi="楷体" w:eastAsia="楷体"/>
          <w:szCs w:val="21"/>
        </w:rPr>
        <w:t>支付服务中</w:t>
      </w:r>
      <w:r>
        <w:rPr>
          <w:rFonts w:hint="eastAsia" w:ascii="楷体" w:hAnsi="楷体" w:eastAsia="楷体"/>
          <w:szCs w:val="21"/>
        </w:rPr>
        <w:t>所发生的以下</w:t>
      </w:r>
      <w:r>
        <w:rPr>
          <w:rFonts w:ascii="楷体" w:hAnsi="楷体" w:eastAsia="楷体"/>
          <w:szCs w:val="21"/>
        </w:rPr>
        <w:t>任意一种交易或行为：</w:t>
      </w:r>
    </w:p>
    <w:p>
      <w:pPr>
        <w:adjustRightInd w:val="0"/>
        <w:snapToGrid w:val="0"/>
        <w:ind w:firstLine="420" w:firstLineChars="200"/>
        <w:rPr>
          <w:rFonts w:ascii="楷体" w:hAnsi="楷体" w:eastAsia="楷体"/>
          <w:szCs w:val="21"/>
        </w:rPr>
      </w:pPr>
      <w:r>
        <w:rPr>
          <w:rFonts w:hint="eastAsia" w:ascii="楷体_GB2312" w:eastAsia="楷体_GB2312"/>
          <w:bCs/>
          <w:szCs w:val="21"/>
        </w:rPr>
        <w:t>（1）</w:t>
      </w:r>
      <w:r>
        <w:rPr>
          <w:rFonts w:hint="eastAsia" w:ascii="楷体" w:hAnsi="楷体" w:eastAsia="楷体"/>
          <w:szCs w:val="21"/>
        </w:rPr>
        <w:t>虚假申请：以虚假、陈旧、不实的资料或盗用其他商户资料，规避乙方的特约商户实名制管理和商户资质审核措施，向乙方申请为特约商户；</w:t>
      </w:r>
    </w:p>
    <w:p>
      <w:pPr>
        <w:adjustRightInd w:val="0"/>
        <w:snapToGrid w:val="0"/>
        <w:ind w:firstLine="420" w:firstLineChars="200"/>
        <w:rPr>
          <w:rFonts w:ascii="楷体" w:hAnsi="楷体" w:eastAsia="楷体"/>
          <w:szCs w:val="21"/>
        </w:rPr>
      </w:pPr>
      <w:r>
        <w:rPr>
          <w:rFonts w:hint="eastAsia" w:ascii="楷体_GB2312" w:eastAsia="楷体_GB2312"/>
          <w:bCs/>
          <w:szCs w:val="21"/>
        </w:rPr>
        <w:t>（</w:t>
      </w:r>
      <w:r>
        <w:rPr>
          <w:rFonts w:ascii="楷体_GB2312" w:eastAsia="楷体_GB2312"/>
          <w:bCs/>
          <w:szCs w:val="21"/>
        </w:rPr>
        <w:t>2</w:t>
      </w:r>
      <w:r>
        <w:rPr>
          <w:rFonts w:hint="eastAsia" w:ascii="楷体_GB2312" w:eastAsia="楷体_GB2312"/>
          <w:bCs/>
          <w:szCs w:val="21"/>
        </w:rPr>
        <w:t>）</w:t>
      </w:r>
      <w:r>
        <w:rPr>
          <w:rFonts w:hint="eastAsia" w:ascii="楷体" w:hAnsi="楷体" w:eastAsia="楷体"/>
          <w:szCs w:val="21"/>
        </w:rPr>
        <w:t>泄漏账户及交易信息:甲方违反信息保密义务, 致使</w:t>
      </w:r>
      <w:r>
        <w:rPr>
          <w:rFonts w:ascii="楷体" w:hAnsi="楷体" w:eastAsia="楷体"/>
          <w:szCs w:val="21"/>
        </w:rPr>
        <w:t>客户银行卡账户</w:t>
      </w:r>
      <w:r>
        <w:rPr>
          <w:rFonts w:hint="eastAsia" w:ascii="楷体" w:hAnsi="楷体" w:eastAsia="楷体"/>
          <w:szCs w:val="21"/>
        </w:rPr>
        <w:t>信息、</w:t>
      </w:r>
      <w:r>
        <w:rPr>
          <w:rFonts w:ascii="楷体" w:hAnsi="楷体" w:eastAsia="楷体"/>
          <w:szCs w:val="21"/>
        </w:rPr>
        <w:t>交易信息泄露或</w:t>
      </w:r>
      <w:r>
        <w:rPr>
          <w:rFonts w:hint="eastAsia" w:ascii="楷体" w:hAnsi="楷体" w:eastAsia="楷体"/>
          <w:szCs w:val="21"/>
        </w:rPr>
        <w:t>产生</w:t>
      </w:r>
      <w:r>
        <w:rPr>
          <w:rFonts w:ascii="楷体" w:hAnsi="楷体" w:eastAsia="楷体"/>
          <w:szCs w:val="21"/>
        </w:rPr>
        <w:t>泄露风险的</w:t>
      </w:r>
      <w:r>
        <w:rPr>
          <w:rFonts w:hint="eastAsia" w:ascii="楷体" w:hAnsi="楷体" w:eastAsia="楷体"/>
          <w:szCs w:val="21"/>
        </w:rPr>
        <w:t>；</w:t>
      </w:r>
    </w:p>
    <w:p>
      <w:pPr>
        <w:adjustRightInd w:val="0"/>
        <w:snapToGrid w:val="0"/>
        <w:ind w:firstLine="420" w:firstLineChars="200"/>
        <w:rPr>
          <w:rFonts w:ascii="楷体" w:hAnsi="楷体" w:eastAsia="楷体"/>
          <w:szCs w:val="21"/>
        </w:rPr>
      </w:pPr>
      <w:r>
        <w:rPr>
          <w:rFonts w:hint="eastAsia" w:ascii="楷体_GB2312" w:eastAsia="楷体_GB2312"/>
          <w:bCs/>
          <w:szCs w:val="21"/>
        </w:rPr>
        <w:t>（</w:t>
      </w:r>
      <w:r>
        <w:rPr>
          <w:rFonts w:ascii="楷体_GB2312" w:eastAsia="楷体_GB2312"/>
          <w:bCs/>
          <w:szCs w:val="21"/>
        </w:rPr>
        <w:t>3</w:t>
      </w:r>
      <w:r>
        <w:rPr>
          <w:rFonts w:hint="eastAsia" w:ascii="楷体_GB2312" w:eastAsia="楷体_GB2312"/>
          <w:bCs/>
          <w:szCs w:val="21"/>
        </w:rPr>
        <w:t>）</w:t>
      </w:r>
      <w:r>
        <w:rPr>
          <w:rFonts w:hint="eastAsia" w:ascii="楷体" w:hAnsi="楷体" w:eastAsia="楷体"/>
          <w:szCs w:val="21"/>
        </w:rPr>
        <w:t>套现(积分): 甲方自身或与他人共谋，以虚假交易、虚开价格、现金退货等方式套取现金(积分)；</w:t>
      </w:r>
    </w:p>
    <w:p>
      <w:pPr>
        <w:adjustRightInd w:val="0"/>
        <w:snapToGrid w:val="0"/>
        <w:ind w:firstLine="420" w:firstLineChars="200"/>
        <w:rPr>
          <w:rFonts w:ascii="楷体" w:hAnsi="楷体" w:eastAsia="楷体"/>
          <w:szCs w:val="21"/>
        </w:rPr>
      </w:pPr>
      <w:r>
        <w:rPr>
          <w:rFonts w:hint="eastAsia" w:ascii="楷体_GB2312" w:eastAsia="楷体_GB2312"/>
          <w:bCs/>
          <w:szCs w:val="21"/>
        </w:rPr>
        <w:t>（</w:t>
      </w:r>
      <w:r>
        <w:rPr>
          <w:rFonts w:ascii="楷体_GB2312" w:eastAsia="楷体_GB2312"/>
          <w:bCs/>
          <w:szCs w:val="21"/>
        </w:rPr>
        <w:t>4</w:t>
      </w:r>
      <w:r>
        <w:rPr>
          <w:rFonts w:hint="eastAsia" w:ascii="楷体_GB2312" w:eastAsia="楷体_GB2312"/>
          <w:bCs/>
          <w:szCs w:val="21"/>
        </w:rPr>
        <w:t>）</w:t>
      </w:r>
      <w:r>
        <w:rPr>
          <w:rFonts w:hint="eastAsia" w:ascii="楷体" w:hAnsi="楷体" w:eastAsia="楷体"/>
          <w:szCs w:val="21"/>
        </w:rPr>
        <w:t>洗单:甲方将其他未签约商户的交易在甲方</w:t>
      </w:r>
      <w:r>
        <w:rPr>
          <w:rFonts w:ascii="楷体" w:hAnsi="楷体" w:eastAsia="楷体"/>
          <w:szCs w:val="21"/>
        </w:rPr>
        <w:t>进行交易</w:t>
      </w:r>
      <w:r>
        <w:rPr>
          <w:rFonts w:hint="eastAsia" w:ascii="楷体" w:hAnsi="楷体" w:eastAsia="楷体"/>
          <w:szCs w:val="21"/>
        </w:rPr>
        <w:t>,假冒甲方的交易与乙方清算；</w:t>
      </w:r>
    </w:p>
    <w:p>
      <w:pPr>
        <w:adjustRightInd w:val="0"/>
        <w:snapToGrid w:val="0"/>
        <w:ind w:firstLine="420" w:firstLineChars="200"/>
        <w:rPr>
          <w:rFonts w:ascii="楷体" w:hAnsi="楷体" w:eastAsia="楷体"/>
          <w:szCs w:val="21"/>
        </w:rPr>
      </w:pPr>
      <w:r>
        <w:rPr>
          <w:rFonts w:hint="eastAsia" w:ascii="楷体_GB2312" w:eastAsia="楷体_GB2312"/>
          <w:bCs/>
          <w:szCs w:val="21"/>
        </w:rPr>
        <w:t>（</w:t>
      </w:r>
      <w:r>
        <w:rPr>
          <w:rFonts w:ascii="楷体_GB2312" w:eastAsia="楷体_GB2312"/>
          <w:bCs/>
          <w:szCs w:val="21"/>
        </w:rPr>
        <w:t>5</w:t>
      </w:r>
      <w:r>
        <w:rPr>
          <w:rFonts w:hint="eastAsia" w:ascii="楷体_GB2312" w:eastAsia="楷体_GB2312"/>
          <w:bCs/>
          <w:szCs w:val="21"/>
        </w:rPr>
        <w:t>）</w:t>
      </w:r>
      <w:r>
        <w:rPr>
          <w:rFonts w:hint="eastAsia" w:ascii="楷体" w:hAnsi="楷体" w:eastAsia="楷体"/>
          <w:szCs w:val="21"/>
        </w:rPr>
        <w:t>盗刷：假冒真实持卡人身份或更改银行卡信息后进行欺诈交易，包括变更账户信息后交易、手输卡号交易或非面对面交易；</w:t>
      </w:r>
    </w:p>
    <w:p>
      <w:pPr>
        <w:adjustRightInd w:val="0"/>
        <w:snapToGrid w:val="0"/>
        <w:ind w:firstLine="420" w:firstLineChars="200"/>
        <w:rPr>
          <w:rFonts w:ascii="楷体" w:hAnsi="楷体" w:eastAsia="楷体"/>
          <w:szCs w:val="21"/>
        </w:rPr>
      </w:pPr>
      <w:r>
        <w:rPr>
          <w:rFonts w:hint="eastAsia" w:ascii="楷体_GB2312" w:eastAsia="楷体_GB2312"/>
          <w:bCs/>
          <w:szCs w:val="21"/>
        </w:rPr>
        <w:t>（</w:t>
      </w:r>
      <w:r>
        <w:rPr>
          <w:rFonts w:ascii="楷体_GB2312" w:eastAsia="楷体_GB2312"/>
          <w:bCs/>
          <w:szCs w:val="21"/>
        </w:rPr>
        <w:t>6</w:t>
      </w:r>
      <w:r>
        <w:rPr>
          <w:rFonts w:hint="eastAsia" w:ascii="楷体_GB2312" w:eastAsia="楷体_GB2312"/>
          <w:bCs/>
          <w:szCs w:val="21"/>
        </w:rPr>
        <w:t>）</w:t>
      </w:r>
      <w:r>
        <w:rPr>
          <w:rFonts w:hint="eastAsia" w:ascii="楷体" w:hAnsi="楷体" w:eastAsia="楷体"/>
          <w:szCs w:val="21"/>
        </w:rPr>
        <w:t>恶意倒闭:甲方接受持卡人</w:t>
      </w:r>
      <w:r>
        <w:rPr>
          <w:rFonts w:ascii="楷体" w:hAnsi="楷体" w:eastAsia="楷体"/>
          <w:szCs w:val="21"/>
        </w:rPr>
        <w:t>（客户）</w:t>
      </w:r>
      <w:r>
        <w:rPr>
          <w:rFonts w:hint="eastAsia" w:ascii="楷体" w:hAnsi="楷体" w:eastAsia="楷体"/>
          <w:szCs w:val="21"/>
        </w:rPr>
        <w:t>银行卡（</w:t>
      </w:r>
      <w:r>
        <w:rPr>
          <w:rFonts w:ascii="楷体" w:hAnsi="楷体" w:eastAsia="楷体"/>
          <w:szCs w:val="21"/>
        </w:rPr>
        <w:t>账户）支付</w:t>
      </w:r>
      <w:r>
        <w:rPr>
          <w:rFonts w:hint="eastAsia" w:ascii="楷体" w:hAnsi="楷体" w:eastAsia="楷体"/>
          <w:szCs w:val="21"/>
        </w:rPr>
        <w:t>预付款后故意破产,使他方承担退单损失；</w:t>
      </w:r>
    </w:p>
    <w:p>
      <w:pPr>
        <w:adjustRightInd w:val="0"/>
        <w:snapToGrid w:val="0"/>
        <w:ind w:firstLine="420" w:firstLineChars="200"/>
        <w:rPr>
          <w:rFonts w:ascii="楷体" w:hAnsi="楷体" w:eastAsia="楷体"/>
          <w:szCs w:val="21"/>
        </w:rPr>
      </w:pPr>
      <w:r>
        <w:rPr>
          <w:rFonts w:hint="eastAsia" w:ascii="楷体_GB2312" w:eastAsia="楷体_GB2312"/>
          <w:bCs/>
          <w:szCs w:val="21"/>
        </w:rPr>
        <w:t>（</w:t>
      </w:r>
      <w:r>
        <w:rPr>
          <w:rFonts w:ascii="楷体_GB2312" w:eastAsia="楷体_GB2312"/>
          <w:bCs/>
          <w:szCs w:val="21"/>
        </w:rPr>
        <w:t>7</w:t>
      </w:r>
      <w:r>
        <w:rPr>
          <w:rFonts w:hint="eastAsia" w:ascii="楷体_GB2312" w:eastAsia="楷体_GB2312"/>
          <w:bCs/>
          <w:szCs w:val="21"/>
        </w:rPr>
        <w:t>）</w:t>
      </w:r>
      <w:r>
        <w:rPr>
          <w:rFonts w:hint="eastAsia" w:ascii="楷体" w:hAnsi="楷体" w:eastAsia="楷体"/>
          <w:szCs w:val="21"/>
        </w:rPr>
        <w:t>恶意拒付</w:t>
      </w:r>
      <w:r>
        <w:rPr>
          <w:rFonts w:ascii="楷体" w:hAnsi="楷体" w:eastAsia="楷体"/>
          <w:szCs w:val="21"/>
        </w:rPr>
        <w:t>：</w:t>
      </w:r>
      <w:r>
        <w:rPr>
          <w:rFonts w:hint="eastAsia" w:ascii="楷体" w:hAnsi="楷体" w:eastAsia="楷体"/>
          <w:szCs w:val="21"/>
        </w:rPr>
        <w:t>包括</w:t>
      </w:r>
      <w:r>
        <w:rPr>
          <w:rFonts w:ascii="楷体" w:hAnsi="楷体" w:eastAsia="楷体"/>
          <w:szCs w:val="21"/>
        </w:rPr>
        <w:t>但不限于</w:t>
      </w:r>
      <w:r>
        <w:rPr>
          <w:rFonts w:hint="eastAsia" w:ascii="楷体" w:hAnsi="楷体" w:eastAsia="楷体"/>
          <w:szCs w:val="21"/>
        </w:rPr>
        <w:t>商户与</w:t>
      </w:r>
      <w:r>
        <w:rPr>
          <w:rFonts w:ascii="楷体" w:hAnsi="楷体" w:eastAsia="楷体"/>
          <w:szCs w:val="21"/>
        </w:rPr>
        <w:t>持卡人合谋</w:t>
      </w:r>
      <w:r>
        <w:rPr>
          <w:rFonts w:hint="eastAsia" w:ascii="楷体" w:hAnsi="楷体" w:eastAsia="楷体"/>
          <w:szCs w:val="21"/>
        </w:rPr>
        <w:t>，</w:t>
      </w:r>
      <w:r>
        <w:rPr>
          <w:rFonts w:ascii="楷体" w:hAnsi="楷体" w:eastAsia="楷体"/>
          <w:szCs w:val="21"/>
        </w:rPr>
        <w:t>或商户</w:t>
      </w:r>
      <w:r>
        <w:rPr>
          <w:rFonts w:hint="eastAsia" w:ascii="楷体" w:hAnsi="楷体" w:eastAsia="楷体"/>
          <w:szCs w:val="21"/>
        </w:rPr>
        <w:t>未能</w:t>
      </w:r>
      <w:r>
        <w:rPr>
          <w:rFonts w:ascii="楷体" w:hAnsi="楷体" w:eastAsia="楷体"/>
          <w:szCs w:val="21"/>
        </w:rPr>
        <w:t>有效管理</w:t>
      </w:r>
      <w:r>
        <w:rPr>
          <w:rFonts w:hint="eastAsia" w:ascii="楷体" w:hAnsi="楷体" w:eastAsia="楷体"/>
          <w:szCs w:val="21"/>
        </w:rPr>
        <w:t>甲方公众号，</w:t>
      </w:r>
      <w:r>
        <w:rPr>
          <w:rFonts w:ascii="楷体" w:hAnsi="楷体" w:eastAsia="楷体"/>
          <w:szCs w:val="21"/>
        </w:rPr>
        <w:t>被</w:t>
      </w:r>
      <w:r>
        <w:rPr>
          <w:rFonts w:hint="eastAsia" w:ascii="楷体" w:hAnsi="楷体" w:eastAsia="楷体"/>
          <w:szCs w:val="21"/>
        </w:rPr>
        <w:t>持卡人</w:t>
      </w:r>
      <w:r>
        <w:rPr>
          <w:rFonts w:ascii="楷体" w:hAnsi="楷体" w:eastAsia="楷体"/>
          <w:szCs w:val="21"/>
        </w:rPr>
        <w:t>利用</w:t>
      </w:r>
      <w:r>
        <w:rPr>
          <w:rFonts w:hint="eastAsia" w:ascii="楷体" w:hAnsi="楷体" w:eastAsia="楷体"/>
          <w:szCs w:val="21"/>
        </w:rPr>
        <w:t>进行</w:t>
      </w:r>
      <w:r>
        <w:rPr>
          <w:rFonts w:ascii="楷体" w:hAnsi="楷体" w:eastAsia="楷体"/>
          <w:szCs w:val="21"/>
        </w:rPr>
        <w:t>恶意拒付的行为</w:t>
      </w:r>
      <w:r>
        <w:rPr>
          <w:rFonts w:hint="eastAsia" w:ascii="楷体" w:hAnsi="楷体" w:eastAsia="楷体"/>
          <w:szCs w:val="21"/>
        </w:rPr>
        <w:t>；</w:t>
      </w:r>
    </w:p>
    <w:p>
      <w:pPr>
        <w:adjustRightInd w:val="0"/>
        <w:snapToGrid w:val="0"/>
        <w:ind w:firstLine="420" w:firstLineChars="200"/>
        <w:rPr>
          <w:rFonts w:ascii="楷体" w:hAnsi="楷体" w:eastAsia="楷体"/>
          <w:szCs w:val="21"/>
        </w:rPr>
      </w:pPr>
      <w:r>
        <w:rPr>
          <w:rFonts w:hint="eastAsia" w:ascii="楷体_GB2312" w:eastAsia="楷体_GB2312"/>
          <w:bCs/>
          <w:szCs w:val="21"/>
        </w:rPr>
        <w:t>（</w:t>
      </w:r>
      <w:r>
        <w:rPr>
          <w:rFonts w:ascii="楷体_GB2312" w:eastAsia="楷体_GB2312"/>
          <w:bCs/>
          <w:szCs w:val="21"/>
        </w:rPr>
        <w:t>8</w:t>
      </w:r>
      <w:r>
        <w:rPr>
          <w:rFonts w:hint="eastAsia" w:ascii="楷体_GB2312" w:eastAsia="楷体_GB2312"/>
          <w:bCs/>
          <w:szCs w:val="21"/>
        </w:rPr>
        <w:t>）</w:t>
      </w:r>
      <w:r>
        <w:rPr>
          <w:rFonts w:hint="eastAsia" w:ascii="楷体" w:hAnsi="楷体" w:eastAsia="楷体"/>
          <w:szCs w:val="21"/>
        </w:rPr>
        <w:t>经营不善</w:t>
      </w:r>
      <w:r>
        <w:rPr>
          <w:rFonts w:ascii="楷体" w:hAnsi="楷体" w:eastAsia="楷体"/>
          <w:szCs w:val="21"/>
        </w:rPr>
        <w:t>：</w:t>
      </w:r>
      <w:r>
        <w:rPr>
          <w:rFonts w:hint="eastAsia" w:ascii="楷体" w:hAnsi="楷体" w:eastAsia="楷体"/>
          <w:szCs w:val="21"/>
        </w:rPr>
        <w:t>甲方停业整顿、申请解散、申请破产或已经停业、破产；甲方被工商部门注销登记、吊销营业执照，由于违法被国家机关查处；</w:t>
      </w:r>
    </w:p>
    <w:p>
      <w:pPr>
        <w:adjustRightInd w:val="0"/>
        <w:snapToGrid w:val="0"/>
        <w:ind w:firstLine="420" w:firstLineChars="200"/>
        <w:rPr>
          <w:rFonts w:ascii="楷体" w:hAnsi="楷体" w:eastAsia="楷体"/>
          <w:szCs w:val="21"/>
        </w:rPr>
      </w:pPr>
      <w:r>
        <w:rPr>
          <w:rFonts w:hint="eastAsia" w:ascii="楷体_GB2312" w:eastAsia="楷体_GB2312"/>
          <w:bCs/>
          <w:szCs w:val="21"/>
        </w:rPr>
        <w:t>（</w:t>
      </w:r>
      <w:r>
        <w:rPr>
          <w:rFonts w:ascii="楷体_GB2312" w:eastAsia="楷体_GB2312"/>
          <w:bCs/>
          <w:szCs w:val="21"/>
        </w:rPr>
        <w:t>9</w:t>
      </w:r>
      <w:r>
        <w:rPr>
          <w:rFonts w:hint="eastAsia" w:ascii="楷体_GB2312" w:eastAsia="楷体_GB2312"/>
          <w:bCs/>
          <w:szCs w:val="21"/>
        </w:rPr>
        <w:t>）</w:t>
      </w:r>
      <w:r>
        <w:rPr>
          <w:rFonts w:hint="eastAsia" w:ascii="楷体" w:hAnsi="楷体" w:eastAsia="楷体"/>
          <w:szCs w:val="21"/>
        </w:rPr>
        <w:t>其他：其他违反监管机构、各发卡组织、各</w:t>
      </w:r>
      <w:r>
        <w:rPr>
          <w:rFonts w:ascii="楷体" w:hAnsi="楷体" w:eastAsia="楷体"/>
          <w:szCs w:val="21"/>
        </w:rPr>
        <w:t>清算机构、</w:t>
      </w:r>
      <w:r>
        <w:rPr>
          <w:rFonts w:hint="eastAsia" w:ascii="楷体" w:hAnsi="楷体" w:eastAsia="楷体"/>
          <w:szCs w:val="21"/>
        </w:rPr>
        <w:t>各商业银行关于商户风险管理规定的行为。</w:t>
      </w:r>
    </w:p>
    <w:p>
      <w:pPr>
        <w:pStyle w:val="12"/>
        <w:numPr>
          <w:ilvl w:val="0"/>
          <w:numId w:val="2"/>
        </w:numPr>
        <w:ind w:firstLineChars="0"/>
        <w:rPr>
          <w:rFonts w:ascii="楷体" w:hAnsi="楷体" w:eastAsia="楷体"/>
          <w:szCs w:val="21"/>
        </w:rPr>
      </w:pPr>
      <w:r>
        <w:rPr>
          <w:rFonts w:hint="eastAsia" w:ascii="楷体" w:hAnsi="楷体" w:eastAsia="楷体"/>
          <w:b/>
          <w:szCs w:val="21"/>
        </w:rPr>
        <w:t>监管</w:t>
      </w:r>
      <w:r>
        <w:rPr>
          <w:rFonts w:ascii="楷体" w:hAnsi="楷体" w:eastAsia="楷体"/>
          <w:b/>
          <w:szCs w:val="21"/>
        </w:rPr>
        <w:t>机构</w:t>
      </w:r>
      <w:r>
        <w:rPr>
          <w:rFonts w:ascii="楷体" w:hAnsi="楷体" w:eastAsia="楷体"/>
          <w:szCs w:val="21"/>
        </w:rPr>
        <w:t>：</w:t>
      </w:r>
      <w:r>
        <w:rPr>
          <w:rFonts w:hint="eastAsia" w:ascii="楷体" w:hAnsi="楷体" w:eastAsia="楷体"/>
          <w:szCs w:val="21"/>
        </w:rPr>
        <w:t>在中华人民共和国、甲方注册地或经营所在地、交易发生地就本协议</w:t>
      </w:r>
      <w:r>
        <w:rPr>
          <w:rFonts w:ascii="楷体" w:hAnsi="楷体" w:eastAsia="楷体"/>
          <w:szCs w:val="21"/>
        </w:rPr>
        <w:t>相关</w:t>
      </w:r>
      <w:r>
        <w:rPr>
          <w:rFonts w:hint="eastAsia" w:ascii="楷体" w:hAnsi="楷体" w:eastAsia="楷体"/>
          <w:szCs w:val="21"/>
        </w:rPr>
        <w:t>业务，履行监管职责的国家机关或非国家机关性质的机构或组织。</w:t>
      </w:r>
    </w:p>
    <w:p>
      <w:pPr>
        <w:pStyle w:val="12"/>
        <w:numPr>
          <w:ilvl w:val="0"/>
          <w:numId w:val="2"/>
        </w:numPr>
        <w:ind w:firstLineChars="0"/>
        <w:rPr>
          <w:rFonts w:ascii="楷体" w:hAnsi="楷体" w:eastAsia="楷体"/>
          <w:szCs w:val="21"/>
        </w:rPr>
      </w:pPr>
      <w:r>
        <w:rPr>
          <w:rFonts w:hint="eastAsia" w:ascii="楷体" w:hAnsi="楷体" w:eastAsia="楷体"/>
          <w:b/>
          <w:szCs w:val="21"/>
        </w:rPr>
        <w:t>T日</w:t>
      </w:r>
      <w:r>
        <w:rPr>
          <w:rFonts w:ascii="楷体" w:hAnsi="楷体" w:eastAsia="楷体"/>
          <w:b/>
          <w:szCs w:val="21"/>
        </w:rPr>
        <w:t>：</w:t>
      </w:r>
      <w:r>
        <w:rPr>
          <w:rFonts w:ascii="楷体" w:hAnsi="楷体" w:eastAsia="楷体"/>
          <w:szCs w:val="21"/>
        </w:rPr>
        <w:t>即交易发生日，</w:t>
      </w:r>
      <w:r>
        <w:rPr>
          <w:rFonts w:hint="eastAsia" w:ascii="楷体" w:hAnsi="楷体" w:eastAsia="楷体"/>
          <w:bCs/>
          <w:szCs w:val="21"/>
        </w:rPr>
        <w:t>T+1日</w:t>
      </w:r>
      <w:r>
        <w:rPr>
          <w:rFonts w:hint="eastAsia" w:ascii="楷体" w:hAnsi="楷体" w:eastAsia="楷体"/>
          <w:szCs w:val="21"/>
        </w:rPr>
        <w:t>，即交易发生的下一个工作日；以上均以中国北京时间为准。</w:t>
      </w:r>
    </w:p>
    <w:p>
      <w:pPr>
        <w:pStyle w:val="12"/>
        <w:numPr>
          <w:ilvl w:val="0"/>
          <w:numId w:val="2"/>
        </w:numPr>
        <w:ind w:firstLineChars="0"/>
        <w:rPr>
          <w:rFonts w:ascii="楷体" w:hAnsi="楷体" w:eastAsia="楷体"/>
          <w:szCs w:val="21"/>
        </w:rPr>
      </w:pPr>
      <w:r>
        <w:rPr>
          <w:rFonts w:ascii="楷体" w:hAnsi="楷体" w:eastAsia="楷体"/>
          <w:b/>
          <w:szCs w:val="21"/>
        </w:rPr>
        <w:t>D日</w:t>
      </w:r>
      <w:r>
        <w:rPr>
          <w:rFonts w:hint="eastAsia" w:ascii="楷体" w:hAnsi="楷体" w:eastAsia="楷体"/>
          <w:b/>
          <w:szCs w:val="21"/>
        </w:rPr>
        <w:t>：</w:t>
      </w:r>
      <w:r>
        <w:rPr>
          <w:rFonts w:ascii="楷体" w:hAnsi="楷体" w:eastAsia="楷体"/>
          <w:szCs w:val="21"/>
        </w:rPr>
        <w:t>即自然日</w:t>
      </w:r>
      <w:r>
        <w:rPr>
          <w:rFonts w:hint="eastAsia" w:ascii="楷体" w:hAnsi="楷体" w:eastAsia="楷体"/>
          <w:szCs w:val="21"/>
        </w:rPr>
        <w:t>，D+</w:t>
      </w:r>
      <w:r>
        <w:rPr>
          <w:rFonts w:ascii="楷体" w:hAnsi="楷体" w:eastAsia="楷体"/>
          <w:szCs w:val="21"/>
        </w:rPr>
        <w:t>1日</w:t>
      </w:r>
      <w:r>
        <w:rPr>
          <w:rFonts w:hint="eastAsia" w:ascii="楷体" w:hAnsi="楷体" w:eastAsia="楷体"/>
          <w:szCs w:val="21"/>
        </w:rPr>
        <w:t>，</w:t>
      </w:r>
      <w:r>
        <w:rPr>
          <w:rFonts w:ascii="楷体" w:hAnsi="楷体" w:eastAsia="楷体"/>
          <w:szCs w:val="21"/>
        </w:rPr>
        <w:t>即交易发生的下一个自然日</w:t>
      </w:r>
      <w:r>
        <w:rPr>
          <w:rFonts w:hint="eastAsia" w:ascii="楷体" w:hAnsi="楷体" w:eastAsia="楷体"/>
          <w:szCs w:val="21"/>
        </w:rPr>
        <w:t>；以上均以中国北京时间为准。</w:t>
      </w:r>
    </w:p>
    <w:p>
      <w:pPr>
        <w:pStyle w:val="12"/>
        <w:numPr>
          <w:ilvl w:val="0"/>
          <w:numId w:val="2"/>
        </w:numPr>
        <w:ind w:firstLineChars="0"/>
        <w:rPr>
          <w:rFonts w:ascii="楷体" w:hAnsi="楷体" w:eastAsia="楷体"/>
          <w:szCs w:val="21"/>
        </w:rPr>
      </w:pPr>
      <w:r>
        <w:rPr>
          <w:rFonts w:hint="eastAsia" w:ascii="楷体" w:hAnsi="楷体" w:eastAsia="楷体"/>
          <w:b/>
          <w:szCs w:val="21"/>
        </w:rPr>
        <w:t>乙方损失</w:t>
      </w:r>
      <w:r>
        <w:rPr>
          <w:rFonts w:hint="eastAsia" w:ascii="楷体" w:hAnsi="楷体" w:eastAsia="楷体"/>
          <w:szCs w:val="21"/>
        </w:rPr>
        <w:t>：本协议项下指因甲方违法违规或违反本协议项下约定给乙方造成的损失，包括但不限于因异常交易产生的乙方向持卡人先行赔付、乙方受银联追偿性清算、监管机构处罚、发卡行退单等造成</w:t>
      </w:r>
      <w:r>
        <w:rPr>
          <w:rFonts w:ascii="楷体" w:hAnsi="楷体" w:eastAsia="楷体"/>
          <w:szCs w:val="21"/>
        </w:rPr>
        <w:t>的损失</w:t>
      </w:r>
      <w:r>
        <w:rPr>
          <w:rFonts w:hint="eastAsia" w:ascii="楷体" w:hAnsi="楷体" w:eastAsia="楷体"/>
          <w:szCs w:val="21"/>
        </w:rPr>
        <w:t>。</w:t>
      </w:r>
    </w:p>
    <w:p>
      <w:pPr>
        <w:rPr>
          <w:rFonts w:ascii="楷体" w:hAnsi="楷体" w:eastAsia="楷体"/>
          <w:b/>
          <w:szCs w:val="21"/>
        </w:rPr>
      </w:pPr>
    </w:p>
    <w:p>
      <w:pPr>
        <w:pStyle w:val="12"/>
        <w:numPr>
          <w:ilvl w:val="0"/>
          <w:numId w:val="1"/>
        </w:numPr>
        <w:ind w:firstLineChars="0"/>
        <w:jc w:val="center"/>
        <w:rPr>
          <w:rFonts w:ascii="楷体" w:hAnsi="楷体" w:eastAsia="楷体"/>
          <w:b/>
          <w:szCs w:val="21"/>
        </w:rPr>
      </w:pPr>
      <w:r>
        <w:rPr>
          <w:rFonts w:hint="eastAsia" w:ascii="楷体" w:hAnsi="楷体" w:eastAsia="楷体"/>
          <w:b/>
          <w:szCs w:val="21"/>
        </w:rPr>
        <w:t>通用</w:t>
      </w:r>
      <w:r>
        <w:rPr>
          <w:rFonts w:ascii="楷体" w:hAnsi="楷体" w:eastAsia="楷体"/>
          <w:b/>
          <w:szCs w:val="21"/>
        </w:rPr>
        <w:t>条款</w:t>
      </w:r>
    </w:p>
    <w:p>
      <w:pPr>
        <w:pStyle w:val="12"/>
        <w:numPr>
          <w:ilvl w:val="0"/>
          <w:numId w:val="3"/>
        </w:numPr>
        <w:ind w:firstLineChars="0"/>
        <w:rPr>
          <w:rFonts w:ascii="楷体" w:hAnsi="楷体" w:eastAsia="楷体"/>
          <w:b/>
          <w:szCs w:val="21"/>
        </w:rPr>
      </w:pPr>
      <w:r>
        <w:rPr>
          <w:rFonts w:hint="eastAsia" w:ascii="楷体" w:hAnsi="楷体" w:eastAsia="楷体"/>
          <w:b/>
          <w:szCs w:val="21"/>
        </w:rPr>
        <w:t>甲方</w:t>
      </w:r>
      <w:r>
        <w:rPr>
          <w:rFonts w:ascii="楷体" w:hAnsi="楷体" w:eastAsia="楷体"/>
          <w:b/>
          <w:szCs w:val="21"/>
        </w:rPr>
        <w:t>权利与义务</w:t>
      </w:r>
    </w:p>
    <w:p>
      <w:pPr>
        <w:pStyle w:val="12"/>
        <w:numPr>
          <w:ilvl w:val="0"/>
          <w:numId w:val="4"/>
        </w:numPr>
        <w:ind w:left="420" w:hanging="420" w:firstLineChars="0"/>
        <w:rPr>
          <w:rFonts w:ascii="楷体" w:hAnsi="楷体" w:eastAsia="楷体"/>
          <w:szCs w:val="21"/>
        </w:rPr>
      </w:pPr>
      <w:r>
        <w:rPr>
          <w:rFonts w:hint="eastAsia" w:ascii="楷体" w:hAnsi="楷体" w:eastAsia="楷体"/>
          <w:b/>
          <w:szCs w:val="21"/>
        </w:rPr>
        <w:t>甲方应当严格遵守国家法律、法规及有关部门的规定，具备从事相关业务的资质条件，依法办理相应行政许可或备案，并遵守以下经营义务</w:t>
      </w:r>
      <w:r>
        <w:rPr>
          <w:rFonts w:hint="eastAsia" w:ascii="楷体" w:hAnsi="楷体" w:eastAsia="楷体"/>
          <w:szCs w:val="21"/>
        </w:rPr>
        <w:t>：</w:t>
      </w:r>
    </w:p>
    <w:p>
      <w:pPr>
        <w:pStyle w:val="18"/>
        <w:rPr>
          <w:rFonts w:ascii="楷体" w:hAnsi="楷体" w:eastAsia="楷体" w:cs="宋体"/>
          <w:kern w:val="0"/>
          <w:szCs w:val="21"/>
        </w:rPr>
      </w:pPr>
      <w:r>
        <w:rPr>
          <w:rFonts w:hint="eastAsia" w:ascii="楷体_GB2312" w:eastAsia="楷体_GB2312"/>
          <w:bCs/>
          <w:szCs w:val="21"/>
        </w:rPr>
        <w:t>（1）甲方</w:t>
      </w:r>
      <w:r>
        <w:rPr>
          <w:rFonts w:hint="eastAsia" w:ascii="楷体" w:hAnsi="楷体" w:eastAsia="楷体" w:cs="宋体"/>
          <w:kern w:val="0"/>
          <w:szCs w:val="21"/>
        </w:rPr>
        <w:t>应制定购买商品或服务的相关业务流程，在接受客户交易请求前与客户明确商品或服务的交付方式、交付地点、交付时间等重要内容，并向客户明确退货政策、客户投诉渠道以及异常交易处理流程。上述内容均应通过甲方经营实体或经营</w:t>
      </w:r>
      <w:r>
        <w:rPr>
          <w:rFonts w:ascii="楷体" w:hAnsi="楷体" w:eastAsia="楷体" w:cs="宋体"/>
          <w:kern w:val="0"/>
          <w:szCs w:val="21"/>
        </w:rPr>
        <w:t>网站或</w:t>
      </w:r>
      <w:r>
        <w:rPr>
          <w:rFonts w:hint="eastAsia" w:ascii="楷体" w:hAnsi="楷体" w:eastAsia="楷体" w:cs="宋体"/>
          <w:kern w:val="0"/>
          <w:szCs w:val="21"/>
        </w:rPr>
        <w:t>其他任何形式告知客户；</w:t>
      </w:r>
    </w:p>
    <w:p>
      <w:pPr>
        <w:pStyle w:val="18"/>
        <w:rPr>
          <w:rFonts w:ascii="楷体" w:hAnsi="楷体" w:eastAsia="楷体" w:cs="宋体"/>
          <w:kern w:val="0"/>
          <w:szCs w:val="21"/>
        </w:rPr>
      </w:pPr>
      <w:r>
        <w:rPr>
          <w:rFonts w:hint="eastAsia" w:ascii="楷体" w:hAnsi="楷体" w:eastAsia="楷体" w:cs="宋体"/>
          <w:kern w:val="0"/>
          <w:szCs w:val="21"/>
        </w:rPr>
        <w:t>（2）甲方收到成功收款信息后，应及时向客户提供相应的商品或服务。如甲方未能按约提供商品或服务的，应及时退款并确保资金原路退回。</w:t>
      </w:r>
    </w:p>
    <w:p>
      <w:pPr>
        <w:pStyle w:val="18"/>
        <w:rPr>
          <w:rFonts w:ascii="楷体" w:hAnsi="楷体" w:eastAsia="楷体" w:cs="宋体"/>
          <w:kern w:val="0"/>
          <w:szCs w:val="21"/>
        </w:rPr>
      </w:pPr>
      <w:r>
        <w:rPr>
          <w:rFonts w:hint="eastAsia" w:ascii="楷体" w:hAnsi="楷体" w:eastAsia="楷体" w:cs="宋体"/>
          <w:kern w:val="0"/>
          <w:szCs w:val="21"/>
        </w:rPr>
        <w:t>（3）甲方负责及时处理因其提供</w:t>
      </w:r>
      <w:r>
        <w:rPr>
          <w:rFonts w:ascii="楷体" w:hAnsi="楷体" w:eastAsia="楷体" w:cs="宋体"/>
          <w:kern w:val="0"/>
          <w:szCs w:val="21"/>
        </w:rPr>
        <w:t>的</w:t>
      </w:r>
      <w:r>
        <w:rPr>
          <w:rFonts w:hint="eastAsia" w:ascii="楷体" w:hAnsi="楷体" w:eastAsia="楷体" w:cs="宋体"/>
          <w:kern w:val="0"/>
          <w:szCs w:val="21"/>
        </w:rPr>
        <w:t>商品</w:t>
      </w:r>
      <w:r>
        <w:rPr>
          <w:rFonts w:ascii="楷体" w:hAnsi="楷体" w:eastAsia="楷体" w:cs="宋体"/>
          <w:kern w:val="0"/>
          <w:szCs w:val="21"/>
        </w:rPr>
        <w:t>或服务</w:t>
      </w:r>
      <w:r>
        <w:rPr>
          <w:rFonts w:hint="eastAsia" w:ascii="楷体" w:hAnsi="楷体" w:eastAsia="楷体" w:cs="宋体"/>
          <w:kern w:val="0"/>
          <w:szCs w:val="21"/>
        </w:rPr>
        <w:t>瑕疵、网站信息或内容虚假等造成的投诉、退货等客户纠纷，并承担全部法律责任。如因上述原因导致乙方损失的，甲方应向乙方全额赔偿。</w:t>
      </w:r>
    </w:p>
    <w:p>
      <w:pPr>
        <w:pStyle w:val="12"/>
        <w:numPr>
          <w:ilvl w:val="0"/>
          <w:numId w:val="4"/>
        </w:numPr>
        <w:ind w:left="420" w:hanging="420" w:firstLineChars="0"/>
        <w:rPr>
          <w:rFonts w:ascii="楷体" w:hAnsi="楷体" w:eastAsia="楷体"/>
          <w:szCs w:val="21"/>
        </w:rPr>
      </w:pPr>
      <w:r>
        <w:rPr>
          <w:rFonts w:hint="eastAsia" w:ascii="楷体" w:hAnsi="楷体" w:eastAsia="楷体"/>
          <w:b/>
          <w:szCs w:val="21"/>
        </w:rPr>
        <w:t>甲方在向</w:t>
      </w:r>
      <w:r>
        <w:rPr>
          <w:rFonts w:ascii="楷体" w:hAnsi="楷体" w:eastAsia="楷体"/>
          <w:b/>
          <w:szCs w:val="21"/>
        </w:rPr>
        <w:t>乙方</w:t>
      </w:r>
      <w:r>
        <w:rPr>
          <w:rFonts w:hint="eastAsia" w:ascii="楷体" w:hAnsi="楷体" w:eastAsia="楷体"/>
          <w:b/>
          <w:szCs w:val="21"/>
        </w:rPr>
        <w:t>申请开通相关支付</w:t>
      </w:r>
      <w:r>
        <w:rPr>
          <w:rFonts w:ascii="楷体" w:hAnsi="楷体" w:eastAsia="楷体"/>
          <w:b/>
          <w:szCs w:val="21"/>
        </w:rPr>
        <w:t>服务功能</w:t>
      </w:r>
      <w:r>
        <w:rPr>
          <w:rFonts w:hint="eastAsia" w:ascii="楷体" w:hAnsi="楷体" w:eastAsia="楷体"/>
          <w:b/>
          <w:szCs w:val="21"/>
        </w:rPr>
        <w:t>时，应向乙方如实提供相关企业资质材料、品牌介绍信息、业务情况说明及相关法律证明，并授权乙方有权基于业务管理之需要对甲方资信状况进行调查与核实。甲方应保证上述提交资料的准确性、真实性、完整性、合法性。甲方承担因资料虚假、不准确、不真实而引发的所有后果。</w:t>
      </w:r>
      <w:r>
        <w:rPr>
          <w:rFonts w:hint="eastAsia" w:ascii="楷体" w:hAnsi="楷体" w:eastAsia="楷体"/>
          <w:szCs w:val="21"/>
        </w:rPr>
        <w:t>如甲方上述信息发生变更，包括但不限于主体变更、甲方企业名称变更、法定代表人更换、业务对接人变更等，应提前</w:t>
      </w:r>
      <w:r>
        <w:rPr>
          <w:rFonts w:ascii="楷体" w:hAnsi="楷体" w:eastAsia="楷体"/>
          <w:szCs w:val="21"/>
        </w:rPr>
        <w:t>5</w:t>
      </w:r>
      <w:r>
        <w:rPr>
          <w:rFonts w:hint="eastAsia" w:ascii="楷体" w:hAnsi="楷体" w:eastAsia="楷体"/>
          <w:szCs w:val="21"/>
        </w:rPr>
        <w:t>个工作日书面通知乙方，依据乙方要求配合完成变更确认手续并提供相关变更证明。如因</w:t>
      </w:r>
      <w:r>
        <w:rPr>
          <w:rFonts w:ascii="楷体" w:hAnsi="楷体" w:eastAsia="楷体"/>
          <w:szCs w:val="21"/>
        </w:rPr>
        <w:t>甲方</w:t>
      </w:r>
      <w:r>
        <w:rPr>
          <w:rFonts w:hint="eastAsia" w:ascii="楷体" w:hAnsi="楷体" w:eastAsia="楷体"/>
          <w:szCs w:val="21"/>
        </w:rPr>
        <w:t>提交</w:t>
      </w:r>
      <w:r>
        <w:rPr>
          <w:rFonts w:ascii="楷体" w:hAnsi="楷体" w:eastAsia="楷体"/>
          <w:szCs w:val="21"/>
        </w:rPr>
        <w:t>的资料</w:t>
      </w:r>
      <w:r>
        <w:rPr>
          <w:rFonts w:hint="eastAsia" w:ascii="楷体" w:hAnsi="楷体" w:eastAsia="楷体"/>
          <w:szCs w:val="21"/>
        </w:rPr>
        <w:t>不符合上述</w:t>
      </w:r>
      <w:r>
        <w:rPr>
          <w:rFonts w:ascii="楷体" w:hAnsi="楷体" w:eastAsia="楷体"/>
          <w:szCs w:val="21"/>
        </w:rPr>
        <w:t>要求，</w:t>
      </w:r>
      <w:r>
        <w:rPr>
          <w:rFonts w:hint="eastAsia" w:ascii="楷体" w:hAnsi="楷体" w:eastAsia="楷体"/>
          <w:szCs w:val="21"/>
        </w:rPr>
        <w:t>一经</w:t>
      </w:r>
      <w:r>
        <w:rPr>
          <w:rFonts w:ascii="楷体" w:hAnsi="楷体" w:eastAsia="楷体"/>
          <w:szCs w:val="21"/>
        </w:rPr>
        <w:t>发现，乙方有权</w:t>
      </w:r>
      <w:r>
        <w:rPr>
          <w:rFonts w:hint="eastAsia" w:ascii="楷体" w:hAnsi="楷体" w:eastAsia="楷体"/>
          <w:szCs w:val="21"/>
        </w:rPr>
        <w:t>随时</w:t>
      </w:r>
      <w:r>
        <w:rPr>
          <w:rFonts w:ascii="楷体" w:hAnsi="楷体" w:eastAsia="楷体"/>
          <w:szCs w:val="21"/>
        </w:rPr>
        <w:t>暂停向甲方提供本协议约定各项服务，而不承担违约责任。</w:t>
      </w:r>
    </w:p>
    <w:p>
      <w:pPr>
        <w:pStyle w:val="12"/>
        <w:numPr>
          <w:ilvl w:val="0"/>
          <w:numId w:val="4"/>
        </w:numPr>
        <w:ind w:left="420" w:hanging="420" w:firstLineChars="0"/>
        <w:rPr>
          <w:rFonts w:ascii="楷体" w:hAnsi="楷体" w:eastAsia="楷体"/>
          <w:b/>
          <w:szCs w:val="21"/>
        </w:rPr>
      </w:pPr>
      <w:r>
        <w:rPr>
          <w:rFonts w:hint="eastAsia" w:ascii="楷体" w:hAnsi="楷体" w:eastAsia="楷体"/>
          <w:b/>
          <w:szCs w:val="21"/>
        </w:rPr>
        <w:t>甲方应承诺发起的交易基于真实的交易背景，不得利用乙方提供的服务进行虚假交易。甲方应按乙方的要求向乙方提供详细的、真实可信的交易信息字段，交易信息至少包括：直接提供商品或服务的商户名称、商品订单号、商品名称、商品描述、交易金额、交易时间和地点、交易类型和渠道等。</w:t>
      </w:r>
    </w:p>
    <w:p>
      <w:pPr>
        <w:pStyle w:val="12"/>
        <w:numPr>
          <w:ilvl w:val="0"/>
          <w:numId w:val="4"/>
        </w:numPr>
        <w:ind w:left="420" w:hanging="420" w:firstLineChars="0"/>
        <w:rPr>
          <w:rFonts w:ascii="楷体" w:hAnsi="楷体" w:eastAsia="楷体"/>
          <w:b/>
          <w:szCs w:val="21"/>
        </w:rPr>
      </w:pPr>
      <w:r>
        <w:rPr>
          <w:rFonts w:hint="eastAsia" w:ascii="楷体" w:hAnsi="楷体" w:eastAsia="楷体"/>
          <w:b/>
          <w:szCs w:val="21"/>
        </w:rPr>
        <w:t>甲方应妥善保管交易产生的资料、数据(包括但不限于订单号、客户名称、身份证件号、交易日期、交易金额、所购商品内容、电子凭证、签购单或email签收回复（如有）等)，自交易完成之日起不少于五年。如因甲方保管不善或其他违约行为造成的相关资金风险和责任由甲方承担。如发生持卡人否认交易或拒付、监管机构的检查或法律法规要求提供的其他情形，甲方应积极协助乙方提供相关交易记录或凭证，自乙方通知之日起3个工作日内提供。</w:t>
      </w:r>
    </w:p>
    <w:p>
      <w:pPr>
        <w:pStyle w:val="12"/>
        <w:numPr>
          <w:ilvl w:val="0"/>
          <w:numId w:val="4"/>
        </w:numPr>
        <w:ind w:left="420" w:hanging="420" w:firstLineChars="0"/>
        <w:rPr>
          <w:rFonts w:ascii="楷体" w:hAnsi="楷体" w:eastAsia="楷体"/>
          <w:b/>
          <w:szCs w:val="21"/>
        </w:rPr>
      </w:pPr>
      <w:r>
        <w:rPr>
          <w:rFonts w:hint="eastAsia" w:ascii="楷体" w:hAnsi="楷体" w:eastAsia="楷体"/>
          <w:b/>
          <w:szCs w:val="21"/>
        </w:rPr>
        <w:t>若因异常交易导致乙方遭受损失,包括但不限于监管机构处罚或先行赔付等，甲方应当向乙方赔偿损失，同时乙方有权中止或终止本协议。</w:t>
      </w:r>
    </w:p>
    <w:p>
      <w:pPr>
        <w:pStyle w:val="12"/>
        <w:numPr>
          <w:ilvl w:val="0"/>
          <w:numId w:val="4"/>
        </w:numPr>
        <w:ind w:left="420" w:hanging="420" w:firstLineChars="0"/>
        <w:rPr>
          <w:rFonts w:ascii="楷体" w:hAnsi="楷体" w:eastAsia="楷体"/>
          <w:b/>
          <w:szCs w:val="21"/>
        </w:rPr>
      </w:pPr>
      <w:r>
        <w:rPr>
          <w:rFonts w:hint="eastAsia" w:ascii="楷体" w:hAnsi="楷体" w:eastAsia="楷体"/>
          <w:szCs w:val="21"/>
        </w:rPr>
        <w:t>甲方有权通过乙方进行交易情况查询，在查询过程中的任何问题可联系乙方解决。若甲方对乙方的账务处理有疑问，可向乙方书面提出，乙方应在收到甲方询问后的五个工作日内予以答复。</w:t>
      </w:r>
    </w:p>
    <w:p>
      <w:pPr>
        <w:pStyle w:val="12"/>
        <w:numPr>
          <w:ilvl w:val="0"/>
          <w:numId w:val="4"/>
        </w:numPr>
        <w:ind w:left="420" w:hanging="420" w:firstLineChars="0"/>
        <w:rPr>
          <w:rFonts w:ascii="楷体" w:hAnsi="楷体" w:eastAsia="楷体"/>
          <w:b/>
          <w:szCs w:val="21"/>
        </w:rPr>
      </w:pPr>
      <w:r>
        <w:rPr>
          <w:rFonts w:hint="eastAsia" w:ascii="楷体" w:hAnsi="楷体" w:eastAsia="楷体"/>
          <w:b/>
          <w:szCs w:val="21"/>
        </w:rPr>
        <w:t>甲方应遵守中国人民银行、银监会、银联、支付清算协会及国家或行业信息安全法律法规规范（如《银联卡收单机构账户信息安全管理标准》），不得采取任何方式截取持卡人任何信息（包括但不限于银行卡、CVV2等），不得代持卡人发出任何指令。否则，甲方应独立承担由此引起的一切法律责任和后果，乙方并有权据此终止本协议。</w:t>
      </w:r>
    </w:p>
    <w:p>
      <w:pPr>
        <w:pStyle w:val="12"/>
        <w:numPr>
          <w:ilvl w:val="0"/>
          <w:numId w:val="4"/>
        </w:numPr>
        <w:ind w:left="420" w:hanging="420" w:firstLineChars="0"/>
        <w:rPr>
          <w:rFonts w:ascii="楷体" w:hAnsi="楷体" w:eastAsia="楷体"/>
          <w:b/>
          <w:szCs w:val="21"/>
        </w:rPr>
      </w:pPr>
      <w:r>
        <w:rPr>
          <w:rFonts w:hint="eastAsia" w:ascii="楷体" w:hAnsi="楷体" w:eastAsia="楷体"/>
          <w:b/>
          <w:szCs w:val="21"/>
        </w:rPr>
        <w:t>甲方应持续遵守银联发布的《银联卡支付信息安全管理标准》，并应承担支付信息安全管理责任。因甲方违反《银联卡支付信息安全管理标准》的约定而造成乙方、银联或其他第三方任何损失的，甲方应承担赔偿责任。</w:t>
      </w:r>
    </w:p>
    <w:p>
      <w:pPr>
        <w:pStyle w:val="12"/>
        <w:numPr>
          <w:ilvl w:val="0"/>
          <w:numId w:val="4"/>
        </w:numPr>
        <w:ind w:left="420" w:hanging="420" w:firstLineChars="0"/>
        <w:rPr>
          <w:rFonts w:ascii="楷体" w:hAnsi="楷体" w:eastAsia="楷体"/>
          <w:b/>
          <w:szCs w:val="21"/>
        </w:rPr>
      </w:pPr>
      <w:r>
        <w:rPr>
          <w:rFonts w:hint="eastAsia" w:ascii="楷体" w:hAnsi="楷体" w:eastAsia="楷体"/>
          <w:b/>
          <w:szCs w:val="21"/>
        </w:rPr>
        <w:t>发生支付信息泄漏事件后，甲方应配合乙方、监管部门或中国银联风险管理委员会授权的第三方专业化检测机构开展泄漏原因及范围调查。</w:t>
      </w:r>
    </w:p>
    <w:p>
      <w:pPr>
        <w:pStyle w:val="12"/>
        <w:numPr>
          <w:ilvl w:val="0"/>
          <w:numId w:val="4"/>
        </w:numPr>
        <w:ind w:left="420" w:hanging="420" w:firstLineChars="0"/>
        <w:rPr>
          <w:rFonts w:ascii="楷体" w:hAnsi="楷体" w:eastAsia="楷体"/>
          <w:b/>
          <w:szCs w:val="21"/>
        </w:rPr>
      </w:pPr>
      <w:r>
        <w:rPr>
          <w:rFonts w:hint="eastAsia" w:ascii="楷体" w:hAnsi="楷体" w:eastAsia="楷体"/>
          <w:b/>
          <w:szCs w:val="21"/>
        </w:rPr>
        <w:t>甲方不得对乙方的服务系统和程序采取反向工程手段进行破解，不得对上述系统和程序（包括但不限于源程序、目标程序、软件文档、运行在本地电脑内存中的数据、客户端至服务器端的数据、服务器数据等）进行复制、修改、编译、整合和篡改，不得修改或增加乙方服务系统的原有功能。</w:t>
      </w:r>
    </w:p>
    <w:p>
      <w:pPr>
        <w:pStyle w:val="12"/>
        <w:numPr>
          <w:ilvl w:val="0"/>
          <w:numId w:val="4"/>
        </w:numPr>
        <w:ind w:left="420" w:hanging="420" w:firstLineChars="0"/>
        <w:rPr>
          <w:rFonts w:ascii="楷体" w:hAnsi="楷体" w:eastAsia="楷体"/>
          <w:szCs w:val="21"/>
        </w:rPr>
      </w:pPr>
      <w:r>
        <w:rPr>
          <w:rFonts w:hint="eastAsia" w:ascii="楷体" w:hAnsi="楷体" w:eastAsia="楷体"/>
          <w:szCs w:val="21"/>
        </w:rPr>
        <w:t>非经</w:t>
      </w:r>
      <w:r>
        <w:rPr>
          <w:rFonts w:ascii="楷体" w:hAnsi="楷体" w:eastAsia="楷体"/>
          <w:szCs w:val="21"/>
        </w:rPr>
        <w:t>乙方书面许可，</w:t>
      </w:r>
      <w:r>
        <w:rPr>
          <w:rFonts w:hint="eastAsia" w:ascii="楷体" w:hAnsi="楷体" w:eastAsia="楷体"/>
          <w:szCs w:val="21"/>
        </w:rPr>
        <w:t>甲方</w:t>
      </w:r>
      <w:r>
        <w:rPr>
          <w:rFonts w:ascii="楷体" w:hAnsi="楷体" w:eastAsia="楷体"/>
          <w:szCs w:val="21"/>
        </w:rPr>
        <w:t>不得将</w:t>
      </w:r>
      <w:r>
        <w:rPr>
          <w:rFonts w:hint="eastAsia" w:ascii="楷体" w:hAnsi="楷体" w:eastAsia="楷体"/>
          <w:szCs w:val="21"/>
        </w:rPr>
        <w:t>本协议约定</w:t>
      </w:r>
      <w:r>
        <w:rPr>
          <w:rFonts w:ascii="楷体" w:hAnsi="楷体" w:eastAsia="楷体"/>
          <w:szCs w:val="21"/>
        </w:rPr>
        <w:t>的权利义务进行转让或转委托。</w:t>
      </w:r>
    </w:p>
    <w:p>
      <w:pPr>
        <w:pStyle w:val="12"/>
        <w:numPr>
          <w:ilvl w:val="0"/>
          <w:numId w:val="4"/>
        </w:numPr>
        <w:ind w:left="420" w:hanging="420" w:firstLineChars="0"/>
        <w:rPr>
          <w:rFonts w:ascii="楷体" w:hAnsi="楷体" w:eastAsia="楷体"/>
          <w:szCs w:val="21"/>
        </w:rPr>
      </w:pPr>
      <w:r>
        <w:rPr>
          <w:rFonts w:hint="eastAsia" w:ascii="楷体" w:hAnsi="楷体" w:eastAsia="楷体"/>
          <w:szCs w:val="21"/>
        </w:rPr>
        <w:t>甲方同意配合乙方依据相关法律法规开展反洗钱工作以及银行、公安部门对交易的调查，并根据相关部门要求提供详细交易信息，包括交易客户具体身份信息及所购买商品或服务的具体信息等。</w:t>
      </w:r>
    </w:p>
    <w:p>
      <w:pPr>
        <w:pStyle w:val="12"/>
        <w:numPr>
          <w:ilvl w:val="0"/>
          <w:numId w:val="4"/>
        </w:numPr>
        <w:ind w:left="420" w:hanging="420" w:firstLineChars="0"/>
        <w:rPr>
          <w:rFonts w:ascii="楷体" w:hAnsi="楷体" w:eastAsia="楷体"/>
          <w:szCs w:val="21"/>
        </w:rPr>
      </w:pPr>
      <w:r>
        <w:rPr>
          <w:rFonts w:hint="eastAsia" w:ascii="楷体" w:hAnsi="楷体" w:eastAsia="楷体"/>
          <w:szCs w:val="21"/>
        </w:rPr>
        <w:t>甲方不得将乙方向其收取的支付服务费用转嫁给客户。</w:t>
      </w:r>
    </w:p>
    <w:p>
      <w:pPr>
        <w:pStyle w:val="12"/>
        <w:numPr>
          <w:ilvl w:val="0"/>
          <w:numId w:val="4"/>
        </w:numPr>
        <w:ind w:left="420" w:hanging="420" w:firstLineChars="0"/>
        <w:rPr>
          <w:rFonts w:ascii="楷体" w:hAnsi="楷体" w:eastAsia="楷体"/>
          <w:szCs w:val="21"/>
        </w:rPr>
      </w:pPr>
      <w:r>
        <w:rPr>
          <w:rFonts w:hint="eastAsia" w:ascii="楷体" w:hAnsi="楷体" w:eastAsia="楷体"/>
          <w:szCs w:val="21"/>
        </w:rPr>
        <w:t>甲方应当遵守监管规定，合法合规管理受理终端，不得擅自移机改变受理终端布放地址。</w:t>
      </w:r>
    </w:p>
    <w:p>
      <w:pPr>
        <w:rPr>
          <w:rFonts w:ascii="楷体" w:hAnsi="楷体" w:eastAsia="楷体"/>
          <w:szCs w:val="21"/>
        </w:rPr>
      </w:pPr>
    </w:p>
    <w:p>
      <w:pPr>
        <w:pStyle w:val="12"/>
        <w:numPr>
          <w:ilvl w:val="0"/>
          <w:numId w:val="3"/>
        </w:numPr>
        <w:ind w:firstLineChars="0"/>
        <w:rPr>
          <w:rFonts w:ascii="楷体" w:hAnsi="楷体" w:eastAsia="楷体"/>
          <w:b/>
          <w:szCs w:val="21"/>
        </w:rPr>
      </w:pPr>
      <w:r>
        <w:rPr>
          <w:rFonts w:hint="eastAsia" w:ascii="楷体" w:hAnsi="楷体" w:eastAsia="楷体"/>
          <w:b/>
          <w:szCs w:val="21"/>
        </w:rPr>
        <w:t>乙方权利与义务</w:t>
      </w:r>
    </w:p>
    <w:p>
      <w:pPr>
        <w:pStyle w:val="12"/>
        <w:numPr>
          <w:ilvl w:val="0"/>
          <w:numId w:val="5"/>
        </w:numPr>
        <w:ind w:firstLineChars="0"/>
        <w:rPr>
          <w:rFonts w:ascii="楷体" w:hAnsi="楷体" w:eastAsia="楷体"/>
          <w:szCs w:val="21"/>
        </w:rPr>
      </w:pPr>
      <w:r>
        <w:rPr>
          <w:rFonts w:hint="eastAsia" w:ascii="楷体" w:hAnsi="楷体" w:eastAsia="楷体"/>
          <w:szCs w:val="21"/>
        </w:rPr>
        <w:t>乙方为甲方提供国内商业银行的支付信息交换、资金结算及退款服务，完成相应付款或退款功能，乙方有权根据监管机构要求或清算机构</w:t>
      </w:r>
      <w:r>
        <w:rPr>
          <w:rFonts w:ascii="楷体" w:hAnsi="楷体" w:eastAsia="楷体"/>
          <w:szCs w:val="21"/>
        </w:rPr>
        <w:t>或</w:t>
      </w:r>
      <w:r>
        <w:rPr>
          <w:rFonts w:hint="eastAsia" w:ascii="楷体" w:hAnsi="楷体" w:eastAsia="楷体"/>
          <w:szCs w:val="21"/>
        </w:rPr>
        <w:t>银行合作情况调整所支持的银行卡，但应及时通知甲方。</w:t>
      </w:r>
    </w:p>
    <w:p>
      <w:pPr>
        <w:pStyle w:val="12"/>
        <w:numPr>
          <w:ilvl w:val="0"/>
          <w:numId w:val="5"/>
        </w:numPr>
        <w:ind w:firstLineChars="0"/>
        <w:rPr>
          <w:rFonts w:ascii="楷体" w:hAnsi="楷体" w:eastAsia="楷体"/>
          <w:szCs w:val="21"/>
        </w:rPr>
      </w:pPr>
      <w:r>
        <w:rPr>
          <w:rFonts w:hint="eastAsia" w:ascii="楷体" w:hAnsi="楷体" w:eastAsia="楷体"/>
          <w:szCs w:val="21"/>
        </w:rPr>
        <w:t>乙方应确保甲方账户资金、交易资金的安全存放和准确及时划转。</w:t>
      </w:r>
    </w:p>
    <w:p>
      <w:pPr>
        <w:pStyle w:val="12"/>
        <w:numPr>
          <w:ilvl w:val="0"/>
          <w:numId w:val="5"/>
        </w:numPr>
        <w:ind w:firstLineChars="0"/>
        <w:rPr>
          <w:rFonts w:ascii="楷体" w:hAnsi="楷体" w:eastAsia="楷体"/>
          <w:b/>
          <w:szCs w:val="21"/>
        </w:rPr>
      </w:pPr>
      <w:r>
        <w:rPr>
          <w:rFonts w:hint="eastAsia" w:ascii="楷体" w:hAnsi="楷体" w:eastAsia="楷体"/>
          <w:b/>
          <w:szCs w:val="21"/>
        </w:rPr>
        <w:t>乙方可拒绝支付或追索甲方违反国家法律法规或本协议约定的有关款项。</w:t>
      </w:r>
    </w:p>
    <w:p>
      <w:pPr>
        <w:pStyle w:val="12"/>
        <w:numPr>
          <w:ilvl w:val="0"/>
          <w:numId w:val="5"/>
        </w:numPr>
        <w:ind w:firstLineChars="0"/>
        <w:rPr>
          <w:rFonts w:ascii="楷体" w:hAnsi="楷体" w:eastAsia="楷体"/>
          <w:b/>
          <w:szCs w:val="21"/>
        </w:rPr>
      </w:pPr>
      <w:r>
        <w:rPr>
          <w:rFonts w:hint="eastAsia" w:ascii="楷体" w:hAnsi="楷体" w:eastAsia="楷体"/>
          <w:b/>
          <w:szCs w:val="21"/>
        </w:rPr>
        <w:t>乙方有权为防控交易风险，依据相关监管规定，在提供支付服务时通过多种方式进行身份认证及交易验证，甲方有权配合提供交易验证要素，由于身份认证或交易验证不通过的，乙方有权拒绝提供支付服务。</w:t>
      </w:r>
    </w:p>
    <w:p>
      <w:pPr>
        <w:pStyle w:val="12"/>
        <w:numPr>
          <w:ilvl w:val="0"/>
          <w:numId w:val="5"/>
        </w:numPr>
        <w:ind w:firstLineChars="0"/>
        <w:rPr>
          <w:rFonts w:ascii="楷体" w:hAnsi="楷体" w:eastAsia="楷体"/>
          <w:b/>
          <w:szCs w:val="21"/>
        </w:rPr>
      </w:pPr>
      <w:r>
        <w:rPr>
          <w:rFonts w:hint="eastAsia" w:ascii="楷体" w:hAnsi="楷体" w:eastAsia="楷体"/>
          <w:b/>
          <w:szCs w:val="21"/>
        </w:rPr>
        <w:t>乙方发现或认为甲方存在异常</w:t>
      </w:r>
      <w:r>
        <w:rPr>
          <w:rFonts w:ascii="楷体" w:hAnsi="楷体" w:eastAsia="楷体"/>
          <w:b/>
          <w:szCs w:val="21"/>
        </w:rPr>
        <w:t>交易</w:t>
      </w:r>
      <w:r>
        <w:rPr>
          <w:rFonts w:hint="eastAsia" w:ascii="楷体" w:hAnsi="楷体" w:eastAsia="楷体"/>
          <w:b/>
          <w:szCs w:val="21"/>
        </w:rPr>
        <w:t>的，乙方有权采取</w:t>
      </w:r>
      <w:r>
        <w:rPr>
          <w:rFonts w:ascii="楷体" w:hAnsi="楷体" w:eastAsia="楷体"/>
          <w:b/>
          <w:szCs w:val="21"/>
        </w:rPr>
        <w:t>包括但不限于以下措施：</w:t>
      </w:r>
      <w:r>
        <w:rPr>
          <w:rFonts w:hint="eastAsia" w:ascii="楷体" w:hAnsi="楷体" w:eastAsia="楷体"/>
          <w:b/>
          <w:szCs w:val="21"/>
        </w:rPr>
        <w:t>立即解除本协议，同时终止甲方的银行卡交易、收回乙方布放的受理终端与交易凭证、暂停或暂缓结算交易款、要求甲方及时提供所有的交易材料证明，并对其他必要的财产采取保全措施。乙方亦有权利向相关银行、清算</w:t>
      </w:r>
      <w:r>
        <w:rPr>
          <w:rFonts w:ascii="楷体" w:hAnsi="楷体" w:eastAsia="楷体"/>
          <w:b/>
          <w:szCs w:val="21"/>
        </w:rPr>
        <w:t>机构、</w:t>
      </w:r>
      <w:r>
        <w:rPr>
          <w:rFonts w:hint="eastAsia" w:ascii="楷体" w:hAnsi="楷体" w:eastAsia="楷体"/>
          <w:b/>
          <w:szCs w:val="21"/>
        </w:rPr>
        <w:t>发卡组织、中国人民银行、支付清算协会和各司法机关报告甲方的行为。因甲方的异常</w:t>
      </w:r>
      <w:r>
        <w:rPr>
          <w:rFonts w:ascii="楷体" w:hAnsi="楷体" w:eastAsia="楷体"/>
          <w:b/>
          <w:szCs w:val="21"/>
        </w:rPr>
        <w:t>交易</w:t>
      </w:r>
      <w:r>
        <w:rPr>
          <w:rFonts w:hint="eastAsia" w:ascii="楷体" w:hAnsi="楷体" w:eastAsia="楷体"/>
          <w:b/>
          <w:szCs w:val="21"/>
        </w:rPr>
        <w:t>行为给乙方造成损失的，由甲方承担赔偿责任，</w:t>
      </w:r>
      <w:r>
        <w:rPr>
          <w:rFonts w:ascii="楷体" w:hAnsi="楷体" w:eastAsia="楷体"/>
          <w:b/>
          <w:szCs w:val="21"/>
        </w:rPr>
        <w:t>方式包括但不限于：扣除</w:t>
      </w:r>
      <w:r>
        <w:rPr>
          <w:rFonts w:hint="eastAsia" w:ascii="楷体" w:hAnsi="楷体" w:eastAsia="楷体"/>
          <w:b/>
          <w:szCs w:val="21"/>
        </w:rPr>
        <w:t>甲方</w:t>
      </w:r>
      <w:r>
        <w:rPr>
          <w:rFonts w:ascii="楷体" w:hAnsi="楷体" w:eastAsia="楷体"/>
          <w:b/>
          <w:szCs w:val="21"/>
        </w:rPr>
        <w:t>待结算</w:t>
      </w:r>
      <w:r>
        <w:rPr>
          <w:rFonts w:hint="eastAsia" w:ascii="楷体" w:hAnsi="楷体" w:eastAsia="楷体"/>
          <w:b/>
          <w:szCs w:val="21"/>
        </w:rPr>
        <w:t>交易</w:t>
      </w:r>
      <w:r>
        <w:rPr>
          <w:rFonts w:ascii="楷体" w:hAnsi="楷体" w:eastAsia="楷体"/>
          <w:b/>
          <w:szCs w:val="21"/>
        </w:rPr>
        <w:t>资金</w:t>
      </w:r>
      <w:r>
        <w:rPr>
          <w:rFonts w:hint="eastAsia" w:ascii="楷体" w:hAnsi="楷体" w:eastAsia="楷体"/>
          <w:b/>
          <w:szCs w:val="21"/>
        </w:rPr>
        <w:t>、甲方</w:t>
      </w:r>
      <w:r>
        <w:rPr>
          <w:rFonts w:ascii="楷体" w:hAnsi="楷体" w:eastAsia="楷体"/>
          <w:b/>
          <w:szCs w:val="21"/>
        </w:rPr>
        <w:t>支付赔偿</w:t>
      </w:r>
      <w:r>
        <w:rPr>
          <w:rFonts w:hint="eastAsia" w:ascii="楷体" w:hAnsi="楷体" w:eastAsia="楷体"/>
          <w:b/>
          <w:szCs w:val="21"/>
        </w:rPr>
        <w:t>金</w:t>
      </w:r>
      <w:r>
        <w:rPr>
          <w:rFonts w:ascii="楷体" w:hAnsi="楷体" w:eastAsia="楷体"/>
          <w:b/>
          <w:szCs w:val="21"/>
        </w:rPr>
        <w:t>等。</w:t>
      </w:r>
    </w:p>
    <w:p>
      <w:pPr>
        <w:pStyle w:val="12"/>
        <w:numPr>
          <w:ilvl w:val="0"/>
          <w:numId w:val="5"/>
        </w:numPr>
        <w:ind w:firstLineChars="0"/>
        <w:rPr>
          <w:rFonts w:ascii="楷体" w:hAnsi="楷体" w:eastAsia="楷体"/>
          <w:szCs w:val="21"/>
        </w:rPr>
      </w:pPr>
      <w:r>
        <w:rPr>
          <w:rFonts w:hint="eastAsia" w:ascii="楷体" w:hAnsi="楷体" w:eastAsia="楷体"/>
          <w:szCs w:val="21"/>
        </w:rPr>
        <w:t>乙方为甲方提供多功能的支付平台系统，包括网络传输加密通道，支付信息传输的软件接口规范、配置安全传输协议、后台管理权限设定等。</w:t>
      </w:r>
    </w:p>
    <w:p>
      <w:pPr>
        <w:pStyle w:val="12"/>
        <w:numPr>
          <w:ilvl w:val="0"/>
          <w:numId w:val="5"/>
        </w:numPr>
        <w:ind w:firstLineChars="0"/>
        <w:rPr>
          <w:rFonts w:ascii="楷体" w:hAnsi="楷体" w:eastAsia="楷体"/>
          <w:szCs w:val="21"/>
        </w:rPr>
      </w:pPr>
      <w:r>
        <w:rPr>
          <w:rFonts w:hint="eastAsia" w:ascii="楷体" w:hAnsi="楷体" w:eastAsia="楷体"/>
          <w:szCs w:val="21"/>
        </w:rPr>
        <w:t>乙方负责自身支付系统的开发建设、运行和管理，应确保该系统的安全性。</w:t>
      </w:r>
    </w:p>
    <w:p>
      <w:pPr>
        <w:pStyle w:val="12"/>
        <w:numPr>
          <w:ilvl w:val="0"/>
          <w:numId w:val="5"/>
        </w:numPr>
        <w:ind w:firstLineChars="0"/>
        <w:rPr>
          <w:rFonts w:ascii="楷体" w:hAnsi="楷体" w:eastAsia="楷体"/>
          <w:szCs w:val="21"/>
        </w:rPr>
      </w:pPr>
      <w:r>
        <w:rPr>
          <w:rFonts w:hint="eastAsia" w:ascii="楷体" w:hAnsi="楷体" w:eastAsia="楷体"/>
          <w:szCs w:val="21"/>
        </w:rPr>
        <w:t>乙方为甲方提供商户信息管理，以及网上交易明细、资金结算信息及退款信息查询服务。</w:t>
      </w:r>
    </w:p>
    <w:p>
      <w:pPr>
        <w:pStyle w:val="12"/>
        <w:numPr>
          <w:ilvl w:val="0"/>
          <w:numId w:val="5"/>
        </w:numPr>
        <w:ind w:firstLineChars="0"/>
        <w:rPr>
          <w:rFonts w:ascii="楷体" w:hAnsi="楷体" w:eastAsia="楷体"/>
          <w:szCs w:val="21"/>
        </w:rPr>
      </w:pPr>
      <w:r>
        <w:rPr>
          <w:rFonts w:hint="eastAsia" w:ascii="楷体" w:hAnsi="楷体" w:eastAsia="楷体"/>
          <w:szCs w:val="21"/>
        </w:rPr>
        <w:t>乙方为甲方及客户提供客户电话服务，负责解答甲方及其客户在使用乙方支付服务中遇到的交易查询、数据对账、资金结算等有关问题。乙方投诉受理电话：400-820-2819（投诉受理时间为工作日9:00-17:30）。</w:t>
      </w:r>
    </w:p>
    <w:p>
      <w:pPr>
        <w:pStyle w:val="12"/>
        <w:numPr>
          <w:ilvl w:val="0"/>
          <w:numId w:val="5"/>
        </w:numPr>
        <w:ind w:firstLineChars="0"/>
        <w:rPr>
          <w:rFonts w:ascii="楷体" w:hAnsi="楷体" w:eastAsia="楷体"/>
          <w:szCs w:val="21"/>
        </w:rPr>
      </w:pPr>
      <w:r>
        <w:rPr>
          <w:rFonts w:hint="eastAsia" w:ascii="楷体" w:hAnsi="楷体" w:eastAsia="楷体"/>
          <w:szCs w:val="21"/>
        </w:rPr>
        <w:t>乙方应为甲方提供本协议约定的各项支付服务，并可按照约定向甲方收取相关服务费用。</w:t>
      </w:r>
    </w:p>
    <w:p>
      <w:pPr>
        <w:pStyle w:val="12"/>
        <w:numPr>
          <w:ilvl w:val="0"/>
          <w:numId w:val="5"/>
        </w:numPr>
        <w:ind w:firstLineChars="0"/>
        <w:rPr>
          <w:rFonts w:ascii="楷体" w:hAnsi="楷体" w:eastAsia="楷体"/>
          <w:b/>
          <w:szCs w:val="21"/>
        </w:rPr>
      </w:pPr>
      <w:r>
        <w:rPr>
          <w:rFonts w:hint="eastAsia" w:ascii="楷体" w:hAnsi="楷体" w:eastAsia="楷体"/>
          <w:b/>
          <w:szCs w:val="21"/>
        </w:rPr>
        <w:t>如果发现同一特约商户或者同一个人控制的特约商户反复更换服务机构等异常状况的，乙方有权要求其提供相关辅助材料及情况说明等相关内容以证明其行为的正常，若拒绝提供或无法证明其行为正常的，则乙方有权拒绝或停止为其提供服务。</w:t>
      </w:r>
    </w:p>
    <w:p>
      <w:pPr>
        <w:pStyle w:val="12"/>
        <w:numPr>
          <w:ilvl w:val="0"/>
          <w:numId w:val="5"/>
        </w:numPr>
        <w:ind w:firstLineChars="0"/>
        <w:rPr>
          <w:rFonts w:ascii="楷体" w:hAnsi="楷体" w:eastAsia="楷体"/>
          <w:b/>
          <w:szCs w:val="21"/>
        </w:rPr>
      </w:pPr>
      <w:r>
        <w:rPr>
          <w:rFonts w:hint="eastAsia" w:ascii="楷体" w:hAnsi="楷体" w:eastAsia="楷体"/>
          <w:b/>
          <w:szCs w:val="21"/>
        </w:rPr>
        <w:t>若发现特约商户或其法定代表人存在于中国支付清算协会及银行卡清算机构所建立的商户黑名单内的，则乙方有权经核实后于10日内予以清退。</w:t>
      </w:r>
    </w:p>
    <w:p>
      <w:pPr>
        <w:pStyle w:val="12"/>
        <w:numPr>
          <w:ilvl w:val="0"/>
          <w:numId w:val="5"/>
        </w:numPr>
        <w:ind w:firstLineChars="0"/>
        <w:rPr>
          <w:rFonts w:ascii="楷体" w:hAnsi="楷体" w:eastAsia="楷体"/>
          <w:b/>
          <w:szCs w:val="21"/>
        </w:rPr>
      </w:pPr>
      <w:r>
        <w:rPr>
          <w:rFonts w:hint="eastAsia" w:ascii="楷体" w:hAnsi="楷体" w:eastAsia="楷体"/>
          <w:b/>
          <w:szCs w:val="21"/>
        </w:rPr>
        <w:t>因以下情况乙方没有成功完成甲方发出的支付指令，乙方不承担责任，但应当及时向甲方发出反馈：（1）乙方接收到的支付指令信息不明、存在乱码、不完整等情形；（2）持卡人的银行卡余额不足或信用额度不足；（3）持卡人银行卡状态不正常，致使无法完成支付；（4）其他不可抗力或其他不可归责于乙方的事由致使乙方不能正确执行甲方支付指令。</w:t>
      </w:r>
    </w:p>
    <w:p>
      <w:pPr>
        <w:pStyle w:val="12"/>
        <w:numPr>
          <w:ilvl w:val="0"/>
          <w:numId w:val="5"/>
        </w:numPr>
        <w:ind w:firstLineChars="0"/>
        <w:rPr>
          <w:rFonts w:ascii="楷体" w:hAnsi="楷体" w:eastAsia="楷体"/>
          <w:b/>
          <w:szCs w:val="21"/>
        </w:rPr>
      </w:pPr>
      <w:r>
        <w:rPr>
          <w:rFonts w:hint="eastAsia" w:ascii="楷体" w:hAnsi="楷体" w:eastAsia="楷体"/>
          <w:b/>
          <w:szCs w:val="21"/>
        </w:rPr>
        <w:t>乙方有权根据银行、清算机构</w:t>
      </w:r>
      <w:r>
        <w:rPr>
          <w:rFonts w:ascii="楷体" w:hAnsi="楷体" w:eastAsia="楷体"/>
          <w:b/>
          <w:szCs w:val="21"/>
        </w:rPr>
        <w:t>、</w:t>
      </w:r>
      <w:r>
        <w:rPr>
          <w:rFonts w:hint="eastAsia" w:ascii="楷体" w:hAnsi="楷体" w:eastAsia="楷体"/>
          <w:b/>
          <w:szCs w:val="21"/>
        </w:rPr>
        <w:t>监管机构要求或乙方风险控制要求暂停或中止提供部分功能，包括但不限于调整银行网关、单笔或单日累计限额等。</w:t>
      </w:r>
    </w:p>
    <w:p>
      <w:pPr>
        <w:pStyle w:val="12"/>
        <w:numPr>
          <w:ilvl w:val="0"/>
          <w:numId w:val="5"/>
        </w:numPr>
        <w:ind w:firstLineChars="0"/>
        <w:rPr>
          <w:rFonts w:ascii="楷体" w:hAnsi="楷体" w:eastAsia="楷体"/>
          <w:b/>
          <w:szCs w:val="21"/>
        </w:rPr>
      </w:pPr>
      <w:r>
        <w:rPr>
          <w:rFonts w:hint="eastAsia" w:ascii="楷体" w:hAnsi="楷体" w:eastAsia="楷体"/>
          <w:b/>
          <w:szCs w:val="21"/>
        </w:rPr>
        <w:t>乙方负责受理涉及其支付系统的投诉并解决相应问题。除此以外，乙方对于甲方与其客户</w:t>
      </w:r>
      <w:r>
        <w:rPr>
          <w:rFonts w:ascii="楷体" w:hAnsi="楷体" w:eastAsia="楷体"/>
          <w:b/>
          <w:szCs w:val="21"/>
        </w:rPr>
        <w:t>之间，</w:t>
      </w:r>
      <w:r>
        <w:rPr>
          <w:rFonts w:hint="eastAsia" w:ascii="楷体" w:hAnsi="楷体" w:eastAsia="楷体"/>
          <w:b/>
          <w:szCs w:val="21"/>
        </w:rPr>
        <w:t>可能发生的商业纠纷不承担责任。</w:t>
      </w:r>
    </w:p>
    <w:p>
      <w:pPr>
        <w:rPr>
          <w:rFonts w:ascii="楷体" w:hAnsi="楷体" w:eastAsia="楷体"/>
          <w:b/>
          <w:szCs w:val="21"/>
        </w:rPr>
      </w:pPr>
    </w:p>
    <w:p>
      <w:pPr>
        <w:pStyle w:val="12"/>
        <w:numPr>
          <w:ilvl w:val="0"/>
          <w:numId w:val="3"/>
        </w:numPr>
        <w:ind w:firstLineChars="0"/>
        <w:rPr>
          <w:rFonts w:ascii="楷体" w:hAnsi="楷体" w:eastAsia="楷体"/>
          <w:b/>
          <w:szCs w:val="21"/>
        </w:rPr>
      </w:pPr>
      <w:r>
        <w:rPr>
          <w:rFonts w:hint="eastAsia" w:ascii="楷体" w:hAnsi="楷体" w:eastAsia="楷体"/>
          <w:b/>
          <w:szCs w:val="21"/>
        </w:rPr>
        <w:t>费用与结算</w:t>
      </w:r>
    </w:p>
    <w:p>
      <w:pPr>
        <w:pStyle w:val="12"/>
        <w:numPr>
          <w:ilvl w:val="0"/>
          <w:numId w:val="6"/>
        </w:numPr>
        <w:ind w:firstLineChars="0"/>
        <w:rPr>
          <w:rFonts w:ascii="楷体" w:hAnsi="楷体" w:eastAsia="楷体"/>
          <w:bCs/>
          <w:szCs w:val="21"/>
        </w:rPr>
      </w:pPr>
      <w:r>
        <w:rPr>
          <w:rFonts w:hint="eastAsia" w:ascii="楷体" w:hAnsi="楷体" w:eastAsia="楷体"/>
          <w:bCs/>
          <w:szCs w:val="21"/>
        </w:rPr>
        <w:t>因交易产生的所有通讯费用（包含但不限于电话通讯费，宽带月租费，SIM卡费，手机月租费，手机网络流量费用），由甲方自行承担。</w:t>
      </w:r>
    </w:p>
    <w:p>
      <w:pPr>
        <w:pStyle w:val="12"/>
        <w:numPr>
          <w:ilvl w:val="0"/>
          <w:numId w:val="6"/>
        </w:numPr>
        <w:ind w:firstLineChars="0"/>
        <w:rPr>
          <w:rFonts w:ascii="楷体" w:hAnsi="楷体" w:eastAsia="楷体"/>
          <w:b/>
          <w:bCs/>
          <w:szCs w:val="21"/>
        </w:rPr>
      </w:pPr>
      <w:r>
        <w:rPr>
          <w:rFonts w:hint="eastAsia" w:ascii="楷体" w:hAnsi="楷体" w:eastAsia="楷体"/>
          <w:b/>
          <w:bCs/>
          <w:szCs w:val="21"/>
        </w:rPr>
        <w:t>结算：</w:t>
      </w:r>
    </w:p>
    <w:p>
      <w:pPr>
        <w:pStyle w:val="12"/>
        <w:ind w:left="420" w:firstLine="0" w:firstLineChars="0"/>
        <w:rPr>
          <w:rFonts w:ascii="楷体" w:hAnsi="楷体" w:eastAsia="楷体"/>
          <w:b/>
          <w:bCs/>
          <w:szCs w:val="21"/>
        </w:rPr>
      </w:pPr>
      <w:r>
        <w:rPr>
          <w:rFonts w:ascii="楷体" w:hAnsi="楷体" w:eastAsia="楷体"/>
          <w:b/>
          <w:bCs/>
          <w:szCs w:val="21"/>
        </w:rPr>
        <w:t>未开通专属账户</w:t>
      </w:r>
      <w:r>
        <w:rPr>
          <w:rFonts w:hint="eastAsia" w:ascii="楷体" w:hAnsi="楷体" w:eastAsia="楷体"/>
          <w:b/>
          <w:bCs/>
          <w:szCs w:val="21"/>
        </w:rPr>
        <w:t>：</w:t>
      </w:r>
    </w:p>
    <w:p>
      <w:pPr>
        <w:ind w:firstLine="420" w:firstLineChars="200"/>
        <w:rPr>
          <w:rFonts w:ascii="楷体" w:hAnsi="楷体" w:eastAsia="楷体"/>
          <w:bCs/>
          <w:szCs w:val="21"/>
        </w:rPr>
      </w:pPr>
      <w:r>
        <w:rPr>
          <w:rFonts w:hint="eastAsia" w:ascii="楷体" w:hAnsi="楷体" w:eastAsia="楷体"/>
          <w:bCs/>
          <w:szCs w:val="21"/>
        </w:rPr>
        <w:t>甲方实体商户的客户，通过受理终端</w:t>
      </w:r>
      <w:r>
        <w:rPr>
          <w:rFonts w:ascii="楷体" w:hAnsi="楷体" w:eastAsia="楷体"/>
          <w:bCs/>
          <w:szCs w:val="21"/>
        </w:rPr>
        <w:t>机具</w:t>
      </w:r>
      <w:r>
        <w:rPr>
          <w:rFonts w:hint="eastAsia" w:ascii="楷体" w:hAnsi="楷体" w:eastAsia="楷体"/>
          <w:bCs/>
          <w:szCs w:val="21"/>
        </w:rPr>
        <w:t>向甲方支付的交易资金，乙方扣除首页约定相应手续费后，按首页约定的结算周期，结算至甲方银行账户。（首页表格中未勾选开通专属账户，则默认为未开通专属账户结算）</w:t>
      </w:r>
    </w:p>
    <w:p>
      <w:pPr>
        <w:pStyle w:val="12"/>
        <w:ind w:left="420" w:firstLine="0" w:firstLineChars="0"/>
        <w:rPr>
          <w:rFonts w:ascii="楷体" w:hAnsi="楷体" w:eastAsia="楷体"/>
          <w:b/>
          <w:bCs/>
          <w:szCs w:val="21"/>
        </w:rPr>
      </w:pPr>
      <w:r>
        <w:rPr>
          <w:rFonts w:ascii="楷体" w:hAnsi="楷体" w:eastAsia="楷体"/>
          <w:b/>
          <w:bCs/>
          <w:szCs w:val="21"/>
        </w:rPr>
        <w:t>开通专属账户</w:t>
      </w:r>
      <w:r>
        <w:rPr>
          <w:rFonts w:hint="eastAsia" w:ascii="楷体" w:hAnsi="楷体" w:eastAsia="楷体"/>
          <w:b/>
          <w:bCs/>
          <w:szCs w:val="21"/>
        </w:rPr>
        <w:t>：</w:t>
      </w:r>
    </w:p>
    <w:p>
      <w:pPr>
        <w:ind w:firstLine="420" w:firstLineChars="200"/>
        <w:rPr>
          <w:rFonts w:ascii="楷体" w:hAnsi="楷体" w:eastAsia="楷体"/>
          <w:bCs/>
          <w:szCs w:val="21"/>
        </w:rPr>
      </w:pPr>
      <w:r>
        <w:rPr>
          <w:rFonts w:hint="eastAsia" w:ascii="楷体" w:hAnsi="楷体" w:eastAsia="楷体"/>
          <w:bCs/>
          <w:szCs w:val="21"/>
        </w:rPr>
        <w:t>甲方实体商户的客户，通过受理终端</w:t>
      </w:r>
      <w:r>
        <w:rPr>
          <w:rFonts w:ascii="楷体" w:hAnsi="楷体" w:eastAsia="楷体"/>
          <w:bCs/>
          <w:szCs w:val="21"/>
        </w:rPr>
        <w:t>机具</w:t>
      </w:r>
      <w:r>
        <w:rPr>
          <w:rFonts w:hint="eastAsia" w:ascii="楷体" w:hAnsi="楷体" w:eastAsia="楷体"/>
          <w:bCs/>
          <w:szCs w:val="21"/>
        </w:rPr>
        <w:t>向甲方支付的交易资金，乙方扣除首页约定相应手续费后，按首页约定的结算周期，结算至甲方专属账户，待乙方收到甲方发起的提现指令后，再将前述交易资金结算至甲方的银行账户。</w:t>
      </w:r>
      <w:r>
        <w:rPr>
          <w:rFonts w:ascii="楷体" w:hAnsi="楷体" w:eastAsia="楷体"/>
          <w:bCs/>
          <w:szCs w:val="21"/>
        </w:rPr>
        <w:t xml:space="preserve"> </w:t>
      </w:r>
    </w:p>
    <w:p>
      <w:pPr>
        <w:pStyle w:val="12"/>
        <w:numPr>
          <w:ilvl w:val="0"/>
          <w:numId w:val="6"/>
        </w:numPr>
        <w:ind w:firstLineChars="0"/>
        <w:rPr>
          <w:rFonts w:ascii="楷体" w:hAnsi="楷体" w:eastAsia="楷体"/>
          <w:b/>
          <w:szCs w:val="21"/>
        </w:rPr>
      </w:pPr>
      <w:r>
        <w:rPr>
          <w:rFonts w:hint="eastAsia" w:ascii="楷体" w:hAnsi="楷体" w:eastAsia="楷体"/>
          <w:b/>
          <w:szCs w:val="21"/>
        </w:rPr>
        <w:t>银行卡收单产品：甲方实体商户的客户，通过布放于甲方的乙方受理终端向甲方支付的交易资金，乙方扣除首页约定相应手续费后，结算至甲方指定账户，乙方就该项交易资金的收单义务完整履行完毕。</w:t>
      </w:r>
    </w:p>
    <w:p>
      <w:pPr>
        <w:ind w:firstLine="420" w:firstLineChars="200"/>
        <w:rPr>
          <w:rFonts w:ascii="楷体" w:hAnsi="楷体" w:eastAsia="楷体"/>
          <w:bCs/>
          <w:szCs w:val="21"/>
        </w:rPr>
      </w:pPr>
      <w:r>
        <w:rPr>
          <w:rFonts w:hint="eastAsia" w:ascii="楷体" w:hAnsi="楷体" w:eastAsia="楷体"/>
          <w:bCs/>
          <w:szCs w:val="21"/>
        </w:rPr>
        <w:t>增值业务快速结算规则：</w:t>
      </w:r>
    </w:p>
    <w:p>
      <w:pPr>
        <w:pStyle w:val="12"/>
        <w:numPr>
          <w:ilvl w:val="0"/>
          <w:numId w:val="7"/>
        </w:numPr>
        <w:adjustRightInd w:val="0"/>
        <w:snapToGrid w:val="0"/>
        <w:ind w:firstLineChars="0"/>
        <w:rPr>
          <w:rFonts w:ascii="楷体" w:hAnsi="楷体" w:eastAsia="楷体" w:cs="Times New Roman"/>
          <w:bCs/>
          <w:szCs w:val="21"/>
        </w:rPr>
      </w:pPr>
      <w:r>
        <w:rPr>
          <w:rFonts w:hint="eastAsia" w:ascii="楷体_GB2312" w:hAnsi="Times New Roman" w:eastAsia="楷体_GB2312" w:cs="Times New Roman"/>
          <w:bCs/>
          <w:szCs w:val="21"/>
        </w:rPr>
        <w:t>T+</w:t>
      </w:r>
      <w:r>
        <w:rPr>
          <w:rFonts w:ascii="楷体_GB2312" w:hAnsi="Times New Roman" w:eastAsia="楷体_GB2312" w:cs="Times New Roman"/>
          <w:bCs/>
          <w:szCs w:val="21"/>
        </w:rPr>
        <w:t>1</w:t>
      </w:r>
      <w:r>
        <w:rPr>
          <w:rFonts w:hint="eastAsia" w:ascii="楷体_GB2312" w:hAnsi="Times New Roman" w:eastAsia="楷体_GB2312" w:cs="Times New Roman"/>
          <w:bCs/>
          <w:szCs w:val="21"/>
        </w:rPr>
        <w:t>日结算：</w:t>
      </w:r>
      <w:r>
        <w:rPr>
          <w:rFonts w:ascii="楷体_GB2312" w:hAnsi="Times New Roman" w:eastAsia="楷体_GB2312" w:cs="Times New Roman"/>
          <w:szCs w:val="21"/>
        </w:rPr>
        <w:t>经</w:t>
      </w:r>
      <w:r>
        <w:rPr>
          <w:rFonts w:hint="eastAsia" w:ascii="楷体_GB2312" w:hAnsi="Times New Roman" w:eastAsia="楷体_GB2312" w:cs="Times New Roman"/>
          <w:szCs w:val="21"/>
        </w:rPr>
        <w:t>甲方于受理终端管理平台</w:t>
      </w:r>
      <w:r>
        <w:rPr>
          <w:rFonts w:ascii="楷体_GB2312" w:hAnsi="Times New Roman" w:eastAsia="楷体_GB2312" w:cs="Times New Roman"/>
          <w:szCs w:val="21"/>
        </w:rPr>
        <w:t>发起</w:t>
      </w:r>
      <w:r>
        <w:rPr>
          <w:rFonts w:hint="eastAsia" w:ascii="楷体_GB2312" w:hAnsi="Times New Roman" w:eastAsia="楷体_GB2312" w:cs="Times New Roman"/>
          <w:szCs w:val="21"/>
        </w:rPr>
        <w:t>授权</w:t>
      </w:r>
      <w:r>
        <w:rPr>
          <w:rFonts w:ascii="楷体_GB2312" w:hAnsi="Times New Roman" w:eastAsia="楷体_GB2312" w:cs="Times New Roman"/>
          <w:szCs w:val="21"/>
        </w:rPr>
        <w:t>，</w:t>
      </w:r>
      <w:r>
        <w:rPr>
          <w:rFonts w:hint="eastAsia" w:ascii="楷体_GB2312" w:hAnsi="Times New Roman" w:eastAsia="楷体_GB2312" w:cs="Times New Roman"/>
          <w:szCs w:val="21"/>
        </w:rPr>
        <w:t>乙方将T日成功</w:t>
      </w:r>
      <w:r>
        <w:rPr>
          <w:rFonts w:ascii="楷体_GB2312" w:hAnsi="Times New Roman" w:eastAsia="楷体_GB2312" w:cs="Times New Roman"/>
          <w:szCs w:val="21"/>
        </w:rPr>
        <w:t>交易</w:t>
      </w:r>
      <w:r>
        <w:rPr>
          <w:rFonts w:hint="eastAsia" w:ascii="楷体_GB2312" w:hAnsi="Times New Roman" w:eastAsia="楷体_GB2312" w:cs="Times New Roman"/>
          <w:szCs w:val="21"/>
        </w:rPr>
        <w:t>的</w:t>
      </w:r>
      <w:r>
        <w:rPr>
          <w:rFonts w:ascii="楷体_GB2312" w:hAnsi="Times New Roman" w:eastAsia="楷体_GB2312" w:cs="Times New Roman"/>
          <w:szCs w:val="21"/>
        </w:rPr>
        <w:t>待结算资金</w:t>
      </w:r>
      <w:r>
        <w:rPr>
          <w:rFonts w:hint="eastAsia" w:ascii="楷体_GB2312" w:hAnsi="Times New Roman" w:eastAsia="楷体_GB2312" w:cs="Times New Roman"/>
          <w:szCs w:val="21"/>
        </w:rPr>
        <w:t>（</w:t>
      </w:r>
      <w:r>
        <w:rPr>
          <w:rFonts w:ascii="楷体_GB2312" w:hAnsi="Times New Roman" w:eastAsia="楷体_GB2312" w:cs="Times New Roman"/>
          <w:szCs w:val="21"/>
        </w:rPr>
        <w:t>该</w:t>
      </w:r>
      <w:r>
        <w:rPr>
          <w:rFonts w:hint="eastAsia" w:ascii="楷体_GB2312" w:hAnsi="Times New Roman" w:eastAsia="楷体_GB2312" w:cs="Times New Roman"/>
          <w:szCs w:val="21"/>
        </w:rPr>
        <w:t>待结算</w:t>
      </w:r>
      <w:r>
        <w:rPr>
          <w:rFonts w:ascii="楷体_GB2312" w:hAnsi="Times New Roman" w:eastAsia="楷体_GB2312" w:cs="Times New Roman"/>
          <w:szCs w:val="21"/>
        </w:rPr>
        <w:t>资</w:t>
      </w:r>
      <w:r>
        <w:rPr>
          <w:rFonts w:hint="eastAsia" w:ascii="楷体_GB2312" w:hAnsi="Times New Roman" w:eastAsia="楷体_GB2312" w:cs="Times New Roman"/>
          <w:szCs w:val="21"/>
        </w:rPr>
        <w:t>金为</w:t>
      </w:r>
      <w:r>
        <w:rPr>
          <w:rFonts w:ascii="楷体_GB2312" w:hAnsi="Times New Roman" w:eastAsia="楷体_GB2312" w:cs="Times New Roman"/>
          <w:szCs w:val="21"/>
        </w:rPr>
        <w:t>交易资金</w:t>
      </w:r>
      <w:r>
        <w:rPr>
          <w:rFonts w:hint="eastAsia" w:ascii="楷体_GB2312" w:hAnsi="Times New Roman" w:eastAsia="楷体_GB2312" w:cs="Times New Roman"/>
          <w:szCs w:val="21"/>
        </w:rPr>
        <w:t>扣除交易</w:t>
      </w:r>
      <w:r>
        <w:rPr>
          <w:rFonts w:ascii="楷体_GB2312" w:hAnsi="Times New Roman" w:eastAsia="楷体_GB2312" w:cs="Times New Roman"/>
          <w:szCs w:val="21"/>
        </w:rPr>
        <w:t>手续费</w:t>
      </w:r>
      <w:r>
        <w:rPr>
          <w:rFonts w:hint="eastAsia" w:ascii="楷体_GB2312" w:hAnsi="Times New Roman" w:eastAsia="楷体_GB2312" w:cs="Times New Roman"/>
          <w:szCs w:val="21"/>
        </w:rPr>
        <w:t>后的</w:t>
      </w:r>
      <w:r>
        <w:rPr>
          <w:rFonts w:ascii="楷体_GB2312" w:hAnsi="Times New Roman" w:eastAsia="楷体_GB2312" w:cs="Times New Roman"/>
          <w:szCs w:val="21"/>
        </w:rPr>
        <w:t>金额</w:t>
      </w:r>
      <w:r>
        <w:rPr>
          <w:rFonts w:hint="eastAsia" w:ascii="楷体_GB2312" w:hAnsi="Times New Roman" w:eastAsia="楷体_GB2312" w:cs="Times New Roman"/>
          <w:szCs w:val="21"/>
        </w:rPr>
        <w:t>），于</w:t>
      </w:r>
      <w:r>
        <w:rPr>
          <w:rFonts w:ascii="楷体_GB2312" w:hAnsi="Times New Roman" w:eastAsia="楷体_GB2312" w:cs="Times New Roman"/>
          <w:szCs w:val="21"/>
        </w:rPr>
        <w:t>T</w:t>
      </w:r>
      <w:r>
        <w:rPr>
          <w:rFonts w:hint="eastAsia" w:ascii="楷体_GB2312" w:hAnsi="Times New Roman" w:eastAsia="楷体_GB2312" w:cs="Times New Roman"/>
          <w:szCs w:val="21"/>
        </w:rPr>
        <w:t>+</w:t>
      </w:r>
      <w:r>
        <w:rPr>
          <w:rFonts w:ascii="楷体_GB2312" w:hAnsi="Times New Roman" w:eastAsia="楷体_GB2312" w:cs="Times New Roman"/>
          <w:szCs w:val="21"/>
        </w:rPr>
        <w:t>1</w:t>
      </w:r>
      <w:r>
        <w:rPr>
          <w:rFonts w:hint="eastAsia" w:ascii="楷体_GB2312" w:hAnsi="Times New Roman" w:eastAsia="楷体_GB2312" w:cs="Times New Roman"/>
          <w:szCs w:val="21"/>
        </w:rPr>
        <w:t>日</w:t>
      </w:r>
      <w:r>
        <w:rPr>
          <w:rFonts w:ascii="楷体_GB2312" w:hAnsi="Times New Roman" w:eastAsia="楷体_GB2312" w:cs="Times New Roman"/>
          <w:szCs w:val="21"/>
        </w:rPr>
        <w:t>结算</w:t>
      </w:r>
      <w:r>
        <w:rPr>
          <w:rFonts w:hint="eastAsia" w:ascii="楷体_GB2312" w:hAnsi="Times New Roman" w:eastAsia="楷体_GB2312" w:cs="Times New Roman"/>
          <w:szCs w:val="21"/>
        </w:rPr>
        <w:t>至甲方指定</w:t>
      </w:r>
      <w:r>
        <w:rPr>
          <w:rFonts w:ascii="楷体_GB2312" w:hAnsi="Times New Roman" w:eastAsia="楷体_GB2312" w:cs="Times New Roman"/>
          <w:szCs w:val="21"/>
        </w:rPr>
        <w:t>账户</w:t>
      </w:r>
      <w:r>
        <w:rPr>
          <w:rFonts w:hint="eastAsia" w:ascii="楷体_GB2312" w:hAnsi="Times New Roman" w:eastAsia="楷体_GB2312" w:cs="Times New Roman"/>
          <w:szCs w:val="21"/>
        </w:rPr>
        <w:t>的</w:t>
      </w:r>
      <w:r>
        <w:rPr>
          <w:rFonts w:ascii="楷体_GB2312" w:hAnsi="Times New Roman" w:eastAsia="楷体_GB2312" w:cs="Times New Roman"/>
          <w:szCs w:val="21"/>
        </w:rPr>
        <w:t>服务。</w:t>
      </w:r>
      <w:r>
        <w:rPr>
          <w:rFonts w:hint="eastAsia" w:ascii="楷体_GB2312" w:hAnsi="Times New Roman" w:eastAsia="楷体_GB2312" w:cs="Times New Roman"/>
          <w:b/>
          <w:szCs w:val="21"/>
        </w:rPr>
        <w:t>未开通快速结算功能则</w:t>
      </w:r>
      <w:r>
        <w:rPr>
          <w:rFonts w:ascii="楷体" w:hAnsi="楷体" w:eastAsia="楷体"/>
          <w:b/>
          <w:szCs w:val="21"/>
        </w:rPr>
        <w:t>银行卡</w:t>
      </w:r>
      <w:r>
        <w:rPr>
          <w:rFonts w:hint="eastAsia" w:ascii="楷体" w:hAnsi="楷体" w:eastAsia="楷体"/>
          <w:b/>
          <w:szCs w:val="21"/>
        </w:rPr>
        <w:t>收单结算规则</w:t>
      </w:r>
      <w:r>
        <w:rPr>
          <w:rFonts w:hint="eastAsia" w:ascii="楷体" w:hAnsi="楷体" w:eastAsia="楷体" w:cs="Times New Roman"/>
          <w:b/>
          <w:szCs w:val="21"/>
        </w:rPr>
        <w:t>默认为T+</w:t>
      </w:r>
      <w:r>
        <w:rPr>
          <w:rFonts w:ascii="楷体" w:hAnsi="楷体" w:eastAsia="楷体" w:cs="Times New Roman"/>
          <w:b/>
          <w:szCs w:val="21"/>
        </w:rPr>
        <w:t>1</w:t>
      </w:r>
      <w:r>
        <w:rPr>
          <w:rFonts w:hint="eastAsia" w:ascii="楷体" w:hAnsi="楷体" w:eastAsia="楷体" w:cs="Times New Roman"/>
          <w:b/>
          <w:szCs w:val="21"/>
        </w:rPr>
        <w:t>日结算。</w:t>
      </w:r>
    </w:p>
    <w:p>
      <w:pPr>
        <w:pStyle w:val="12"/>
        <w:numPr>
          <w:ilvl w:val="0"/>
          <w:numId w:val="7"/>
        </w:numPr>
        <w:adjustRightInd w:val="0"/>
        <w:snapToGrid w:val="0"/>
        <w:ind w:firstLineChars="0"/>
        <w:rPr>
          <w:rFonts w:ascii="楷体" w:hAnsi="楷体" w:eastAsia="楷体" w:cs="Times New Roman"/>
          <w:szCs w:val="21"/>
        </w:rPr>
      </w:pPr>
      <w:r>
        <w:rPr>
          <w:rFonts w:hint="eastAsia" w:ascii="楷体" w:hAnsi="楷体" w:eastAsia="楷体" w:cs="Times New Roman"/>
          <w:szCs w:val="21"/>
        </w:rPr>
        <w:t>D</w:t>
      </w:r>
      <w:r>
        <w:rPr>
          <w:rFonts w:hint="eastAsia" w:ascii="楷体" w:hAnsi="楷体" w:eastAsia="楷体" w:cs="Times New Roman"/>
          <w:bCs/>
          <w:szCs w:val="21"/>
        </w:rPr>
        <w:t>日</w:t>
      </w:r>
      <w:r>
        <w:rPr>
          <w:rFonts w:hint="eastAsia" w:ascii="楷体" w:hAnsi="楷体" w:eastAsia="楷体" w:cs="Times New Roman"/>
          <w:szCs w:val="21"/>
        </w:rPr>
        <w:t>结算：</w:t>
      </w:r>
      <w:r>
        <w:rPr>
          <w:rFonts w:ascii="楷体" w:hAnsi="楷体" w:eastAsia="楷体" w:cs="Times New Roman"/>
          <w:szCs w:val="21"/>
        </w:rPr>
        <w:t>经</w:t>
      </w:r>
      <w:r>
        <w:rPr>
          <w:rFonts w:hint="eastAsia" w:ascii="楷体" w:hAnsi="楷体" w:eastAsia="楷体" w:cs="Times New Roman"/>
          <w:szCs w:val="21"/>
        </w:rPr>
        <w:t>甲方于受理终端管理平台</w:t>
      </w:r>
      <w:r>
        <w:rPr>
          <w:rFonts w:ascii="楷体" w:hAnsi="楷体" w:eastAsia="楷体" w:cs="Times New Roman"/>
          <w:szCs w:val="21"/>
        </w:rPr>
        <w:t>发起</w:t>
      </w:r>
      <w:r>
        <w:rPr>
          <w:rFonts w:hint="eastAsia" w:ascii="楷体" w:hAnsi="楷体" w:eastAsia="楷体" w:cs="Times New Roman"/>
          <w:szCs w:val="21"/>
        </w:rPr>
        <w:t>授权</w:t>
      </w:r>
      <w:r>
        <w:rPr>
          <w:rFonts w:ascii="楷体" w:hAnsi="楷体" w:eastAsia="楷体" w:cs="Times New Roman"/>
          <w:szCs w:val="21"/>
        </w:rPr>
        <w:t>，</w:t>
      </w:r>
      <w:r>
        <w:rPr>
          <w:rFonts w:hint="eastAsia" w:ascii="楷体" w:hAnsi="楷体" w:eastAsia="楷体" w:cs="Times New Roman"/>
          <w:szCs w:val="21"/>
        </w:rPr>
        <w:t>乙方将D日（</w:t>
      </w:r>
      <w:r>
        <w:rPr>
          <w:rFonts w:ascii="楷体" w:hAnsi="楷体" w:eastAsia="楷体" w:cs="Times New Roman"/>
          <w:szCs w:val="21"/>
        </w:rPr>
        <w:t>该</w:t>
      </w:r>
      <w:r>
        <w:rPr>
          <w:rFonts w:hint="eastAsia" w:ascii="楷体" w:hAnsi="楷体" w:eastAsia="楷体" w:cs="Times New Roman"/>
          <w:szCs w:val="21"/>
        </w:rPr>
        <w:t>待结算</w:t>
      </w:r>
      <w:r>
        <w:rPr>
          <w:rFonts w:ascii="楷体" w:hAnsi="楷体" w:eastAsia="楷体" w:cs="Times New Roman"/>
          <w:szCs w:val="21"/>
        </w:rPr>
        <w:t>资</w:t>
      </w:r>
      <w:r>
        <w:rPr>
          <w:rFonts w:hint="eastAsia" w:ascii="楷体" w:hAnsi="楷体" w:eastAsia="楷体" w:cs="Times New Roman"/>
          <w:szCs w:val="21"/>
        </w:rPr>
        <w:t>金为</w:t>
      </w:r>
      <w:r>
        <w:rPr>
          <w:rFonts w:ascii="楷体" w:hAnsi="楷体" w:eastAsia="楷体" w:cs="Times New Roman"/>
          <w:szCs w:val="21"/>
        </w:rPr>
        <w:t>交易资金</w:t>
      </w:r>
      <w:r>
        <w:rPr>
          <w:rFonts w:hint="eastAsia" w:ascii="楷体" w:hAnsi="楷体" w:eastAsia="楷体" w:cs="Times New Roman"/>
          <w:szCs w:val="21"/>
        </w:rPr>
        <w:t>扣除交易</w:t>
      </w:r>
      <w:r>
        <w:rPr>
          <w:rFonts w:ascii="楷体" w:hAnsi="楷体" w:eastAsia="楷体" w:cs="Times New Roman"/>
          <w:szCs w:val="21"/>
        </w:rPr>
        <w:t>手续费</w:t>
      </w:r>
      <w:r>
        <w:rPr>
          <w:rFonts w:hint="eastAsia" w:ascii="楷体" w:hAnsi="楷体" w:eastAsia="楷体" w:cs="Times New Roman"/>
          <w:szCs w:val="21"/>
        </w:rPr>
        <w:t>后的</w:t>
      </w:r>
      <w:r>
        <w:rPr>
          <w:rFonts w:ascii="楷体" w:hAnsi="楷体" w:eastAsia="楷体" w:cs="Times New Roman"/>
          <w:szCs w:val="21"/>
        </w:rPr>
        <w:t>金额</w:t>
      </w:r>
      <w:r>
        <w:rPr>
          <w:rFonts w:hint="eastAsia" w:ascii="楷体" w:hAnsi="楷体" w:eastAsia="楷体" w:cs="Times New Roman"/>
          <w:szCs w:val="21"/>
        </w:rPr>
        <w:t>），于D日</w:t>
      </w:r>
      <w:r>
        <w:rPr>
          <w:rFonts w:ascii="楷体" w:hAnsi="楷体" w:eastAsia="楷体" w:cs="Times New Roman"/>
          <w:szCs w:val="21"/>
        </w:rPr>
        <w:t>当日</w:t>
      </w:r>
      <w:r>
        <w:rPr>
          <w:rFonts w:hint="eastAsia" w:ascii="楷体" w:hAnsi="楷体" w:eastAsia="楷体" w:cs="Times New Roman"/>
          <w:szCs w:val="21"/>
        </w:rPr>
        <w:t>扣除D+0增值</w:t>
      </w:r>
      <w:r>
        <w:rPr>
          <w:rFonts w:ascii="楷体" w:hAnsi="楷体" w:eastAsia="楷体" w:cs="Times New Roman"/>
          <w:szCs w:val="21"/>
        </w:rPr>
        <w:t>服务手续费</w:t>
      </w:r>
      <w:r>
        <w:rPr>
          <w:rFonts w:hint="eastAsia" w:ascii="楷体" w:hAnsi="楷体" w:eastAsia="楷体" w:cs="Times New Roman"/>
          <w:szCs w:val="21"/>
        </w:rPr>
        <w:t>后</w:t>
      </w:r>
      <w:r>
        <w:rPr>
          <w:rFonts w:ascii="楷体" w:hAnsi="楷体" w:eastAsia="楷体" w:cs="Times New Roman"/>
          <w:szCs w:val="21"/>
        </w:rPr>
        <w:t>结算</w:t>
      </w:r>
      <w:r>
        <w:rPr>
          <w:rFonts w:hint="eastAsia" w:ascii="楷体" w:hAnsi="楷体" w:eastAsia="楷体" w:cs="Times New Roman"/>
          <w:szCs w:val="21"/>
        </w:rPr>
        <w:t>至甲方指定</w:t>
      </w:r>
      <w:r>
        <w:rPr>
          <w:rFonts w:ascii="楷体" w:hAnsi="楷体" w:eastAsia="楷体" w:cs="Times New Roman"/>
          <w:szCs w:val="21"/>
        </w:rPr>
        <w:t>账户</w:t>
      </w:r>
      <w:r>
        <w:rPr>
          <w:rFonts w:hint="eastAsia" w:ascii="楷体" w:hAnsi="楷体" w:eastAsia="楷体" w:cs="Times New Roman"/>
          <w:szCs w:val="21"/>
        </w:rPr>
        <w:t>的</w:t>
      </w:r>
      <w:r>
        <w:rPr>
          <w:rFonts w:ascii="楷体" w:hAnsi="楷体" w:eastAsia="楷体" w:cs="Times New Roman"/>
          <w:szCs w:val="21"/>
        </w:rPr>
        <w:t>服务。</w:t>
      </w:r>
    </w:p>
    <w:p>
      <w:pPr>
        <w:pStyle w:val="12"/>
        <w:numPr>
          <w:ilvl w:val="0"/>
          <w:numId w:val="7"/>
        </w:numPr>
        <w:adjustRightInd w:val="0"/>
        <w:snapToGrid w:val="0"/>
        <w:ind w:firstLineChars="0"/>
        <w:rPr>
          <w:rFonts w:ascii="楷体" w:hAnsi="楷体" w:eastAsia="楷体" w:cs="Times New Roman"/>
          <w:szCs w:val="21"/>
        </w:rPr>
      </w:pPr>
      <w:r>
        <w:rPr>
          <w:rFonts w:hint="eastAsia" w:ascii="楷体" w:hAnsi="楷体" w:eastAsia="楷体" w:cs="Times New Roman"/>
          <w:szCs w:val="21"/>
        </w:rPr>
        <w:t>D+1</w:t>
      </w:r>
      <w:r>
        <w:rPr>
          <w:rFonts w:hint="eastAsia" w:ascii="楷体" w:hAnsi="楷体" w:eastAsia="楷体" w:cs="Times New Roman"/>
          <w:bCs/>
          <w:szCs w:val="21"/>
        </w:rPr>
        <w:t>日</w:t>
      </w:r>
      <w:r>
        <w:rPr>
          <w:rFonts w:hint="eastAsia" w:ascii="楷体" w:hAnsi="楷体" w:eastAsia="楷体" w:cs="Times New Roman"/>
          <w:szCs w:val="21"/>
        </w:rPr>
        <w:t>结算：</w:t>
      </w:r>
      <w:r>
        <w:rPr>
          <w:rFonts w:ascii="楷体" w:hAnsi="楷体" w:eastAsia="楷体" w:cs="Times New Roman"/>
          <w:szCs w:val="21"/>
        </w:rPr>
        <w:t>经</w:t>
      </w:r>
      <w:r>
        <w:rPr>
          <w:rFonts w:hint="eastAsia" w:ascii="楷体" w:hAnsi="楷体" w:eastAsia="楷体" w:cs="Times New Roman"/>
          <w:szCs w:val="21"/>
        </w:rPr>
        <w:t>甲方于受理终端管理平台</w:t>
      </w:r>
      <w:r>
        <w:rPr>
          <w:rFonts w:ascii="楷体" w:hAnsi="楷体" w:eastAsia="楷体" w:cs="Times New Roman"/>
          <w:szCs w:val="21"/>
        </w:rPr>
        <w:t>发起</w:t>
      </w:r>
      <w:r>
        <w:rPr>
          <w:rFonts w:hint="eastAsia" w:ascii="楷体" w:hAnsi="楷体" w:eastAsia="楷体" w:cs="Times New Roman"/>
          <w:szCs w:val="21"/>
        </w:rPr>
        <w:t>授权</w:t>
      </w:r>
      <w:r>
        <w:rPr>
          <w:rFonts w:ascii="楷体" w:hAnsi="楷体" w:eastAsia="楷体" w:cs="Times New Roman"/>
          <w:szCs w:val="21"/>
        </w:rPr>
        <w:t>，</w:t>
      </w:r>
      <w:r>
        <w:rPr>
          <w:rFonts w:hint="eastAsia" w:ascii="楷体" w:hAnsi="楷体" w:eastAsia="楷体" w:cs="Times New Roman"/>
          <w:szCs w:val="21"/>
        </w:rPr>
        <w:t>乙方将D日</w:t>
      </w:r>
      <w:r>
        <w:rPr>
          <w:rFonts w:ascii="楷体" w:hAnsi="楷体" w:eastAsia="楷体" w:cs="Times New Roman"/>
          <w:szCs w:val="21"/>
        </w:rPr>
        <w:t>成功交易的待结算资金</w:t>
      </w:r>
      <w:r>
        <w:rPr>
          <w:rFonts w:hint="eastAsia" w:ascii="楷体" w:hAnsi="楷体" w:eastAsia="楷体" w:cs="Times New Roman"/>
          <w:szCs w:val="21"/>
        </w:rPr>
        <w:t>（</w:t>
      </w:r>
      <w:r>
        <w:rPr>
          <w:rFonts w:ascii="楷体" w:hAnsi="楷体" w:eastAsia="楷体" w:cs="Times New Roman"/>
          <w:szCs w:val="21"/>
        </w:rPr>
        <w:t>该</w:t>
      </w:r>
      <w:r>
        <w:rPr>
          <w:rFonts w:hint="eastAsia" w:ascii="楷体" w:hAnsi="楷体" w:eastAsia="楷体" w:cs="Times New Roman"/>
          <w:szCs w:val="21"/>
        </w:rPr>
        <w:t>待结算</w:t>
      </w:r>
      <w:r>
        <w:rPr>
          <w:rFonts w:ascii="楷体" w:hAnsi="楷体" w:eastAsia="楷体" w:cs="Times New Roman"/>
          <w:szCs w:val="21"/>
        </w:rPr>
        <w:t>资</w:t>
      </w:r>
      <w:r>
        <w:rPr>
          <w:rFonts w:hint="eastAsia" w:ascii="楷体" w:hAnsi="楷体" w:eastAsia="楷体" w:cs="Times New Roman"/>
          <w:szCs w:val="21"/>
        </w:rPr>
        <w:t>金为</w:t>
      </w:r>
      <w:r>
        <w:rPr>
          <w:rFonts w:ascii="楷体" w:hAnsi="楷体" w:eastAsia="楷体" w:cs="Times New Roman"/>
          <w:szCs w:val="21"/>
        </w:rPr>
        <w:t>交易资金</w:t>
      </w:r>
      <w:r>
        <w:rPr>
          <w:rFonts w:hint="eastAsia" w:ascii="楷体" w:hAnsi="楷体" w:eastAsia="楷体" w:cs="Times New Roman"/>
          <w:szCs w:val="21"/>
        </w:rPr>
        <w:t>扣除交易</w:t>
      </w:r>
      <w:r>
        <w:rPr>
          <w:rFonts w:ascii="楷体" w:hAnsi="楷体" w:eastAsia="楷体" w:cs="Times New Roman"/>
          <w:szCs w:val="21"/>
        </w:rPr>
        <w:t>手续费</w:t>
      </w:r>
      <w:r>
        <w:rPr>
          <w:rFonts w:hint="eastAsia" w:ascii="楷体" w:hAnsi="楷体" w:eastAsia="楷体" w:cs="Times New Roman"/>
          <w:szCs w:val="21"/>
        </w:rPr>
        <w:t>后的</w:t>
      </w:r>
      <w:r>
        <w:rPr>
          <w:rFonts w:ascii="楷体" w:hAnsi="楷体" w:eastAsia="楷体" w:cs="Times New Roman"/>
          <w:szCs w:val="21"/>
        </w:rPr>
        <w:t>金额</w:t>
      </w:r>
      <w:r>
        <w:rPr>
          <w:rFonts w:hint="eastAsia" w:ascii="楷体" w:hAnsi="楷体" w:eastAsia="楷体" w:cs="Times New Roman"/>
          <w:szCs w:val="21"/>
        </w:rPr>
        <w:t>），</w:t>
      </w:r>
      <w:r>
        <w:rPr>
          <w:rFonts w:ascii="楷体" w:hAnsi="楷体" w:eastAsia="楷体" w:cs="Times New Roman"/>
          <w:szCs w:val="21"/>
        </w:rPr>
        <w:t>于</w:t>
      </w:r>
      <w:r>
        <w:rPr>
          <w:rFonts w:hint="eastAsia" w:ascii="楷体" w:hAnsi="楷体" w:eastAsia="楷体" w:cs="Times New Roman"/>
          <w:szCs w:val="21"/>
        </w:rPr>
        <w:t>D日次日扣除D+1增值</w:t>
      </w:r>
      <w:r>
        <w:rPr>
          <w:rFonts w:ascii="楷体" w:hAnsi="楷体" w:eastAsia="楷体" w:cs="Times New Roman"/>
          <w:szCs w:val="21"/>
        </w:rPr>
        <w:t>服务手续费</w:t>
      </w:r>
      <w:r>
        <w:rPr>
          <w:rFonts w:hint="eastAsia" w:ascii="楷体" w:hAnsi="楷体" w:eastAsia="楷体" w:cs="Times New Roman"/>
          <w:szCs w:val="21"/>
        </w:rPr>
        <w:t>后</w:t>
      </w:r>
      <w:r>
        <w:rPr>
          <w:rFonts w:ascii="楷体" w:hAnsi="楷体" w:eastAsia="楷体" w:cs="Times New Roman"/>
          <w:szCs w:val="21"/>
        </w:rPr>
        <w:t>结算至甲方</w:t>
      </w:r>
      <w:r>
        <w:rPr>
          <w:rFonts w:hint="eastAsia" w:ascii="楷体" w:hAnsi="楷体" w:eastAsia="楷体" w:cs="Times New Roman"/>
          <w:szCs w:val="21"/>
        </w:rPr>
        <w:t>指定</w:t>
      </w:r>
      <w:r>
        <w:rPr>
          <w:rFonts w:ascii="楷体" w:hAnsi="楷体" w:eastAsia="楷体" w:cs="Times New Roman"/>
          <w:szCs w:val="21"/>
        </w:rPr>
        <w:t>账户</w:t>
      </w:r>
      <w:r>
        <w:rPr>
          <w:rFonts w:hint="eastAsia" w:ascii="楷体" w:hAnsi="楷体" w:eastAsia="楷体" w:cs="Times New Roman"/>
          <w:szCs w:val="21"/>
        </w:rPr>
        <w:t>的</w:t>
      </w:r>
      <w:r>
        <w:rPr>
          <w:rFonts w:ascii="楷体" w:hAnsi="楷体" w:eastAsia="楷体" w:cs="Times New Roman"/>
          <w:szCs w:val="21"/>
        </w:rPr>
        <w:t>服务。</w:t>
      </w:r>
    </w:p>
    <w:p>
      <w:pPr>
        <w:pStyle w:val="12"/>
        <w:numPr>
          <w:ilvl w:val="0"/>
          <w:numId w:val="7"/>
        </w:numPr>
        <w:adjustRightInd w:val="0"/>
        <w:snapToGrid w:val="0"/>
        <w:ind w:firstLineChars="0"/>
        <w:rPr>
          <w:rFonts w:ascii="楷体" w:hAnsi="楷体" w:eastAsia="楷体" w:cs="Times New Roman"/>
          <w:szCs w:val="21"/>
        </w:rPr>
      </w:pPr>
      <w:r>
        <w:rPr>
          <w:rFonts w:hint="eastAsia" w:ascii="楷体" w:hAnsi="楷体" w:eastAsia="楷体" w:cs="Times New Roman"/>
          <w:szCs w:val="21"/>
        </w:rPr>
        <w:t>TS结算：</w:t>
      </w:r>
      <w:r>
        <w:rPr>
          <w:rFonts w:ascii="楷体" w:hAnsi="楷体" w:eastAsia="楷体" w:cs="Times New Roman"/>
          <w:szCs w:val="21"/>
        </w:rPr>
        <w:t>经</w:t>
      </w:r>
      <w:r>
        <w:rPr>
          <w:rFonts w:hint="eastAsia" w:ascii="楷体" w:hAnsi="楷体" w:eastAsia="楷体" w:cs="Times New Roman"/>
          <w:szCs w:val="21"/>
        </w:rPr>
        <w:t>甲方于受理终端管理平台</w:t>
      </w:r>
      <w:r>
        <w:rPr>
          <w:rFonts w:ascii="楷体" w:hAnsi="楷体" w:eastAsia="楷体" w:cs="Times New Roman"/>
          <w:szCs w:val="21"/>
        </w:rPr>
        <w:t>发起</w:t>
      </w:r>
      <w:r>
        <w:rPr>
          <w:rFonts w:hint="eastAsia" w:ascii="楷体" w:hAnsi="楷体" w:eastAsia="楷体" w:cs="Times New Roman"/>
          <w:szCs w:val="21"/>
        </w:rPr>
        <w:t>授权</w:t>
      </w:r>
      <w:r>
        <w:rPr>
          <w:rFonts w:ascii="楷体" w:hAnsi="楷体" w:eastAsia="楷体" w:cs="Times New Roman"/>
          <w:szCs w:val="21"/>
        </w:rPr>
        <w:t>，</w:t>
      </w:r>
      <w:r>
        <w:rPr>
          <w:rFonts w:hint="eastAsia" w:ascii="楷体" w:hAnsi="楷体" w:eastAsia="楷体" w:cs="Times New Roman"/>
          <w:szCs w:val="21"/>
        </w:rPr>
        <w:t>乙方将D日成功</w:t>
      </w:r>
      <w:r>
        <w:rPr>
          <w:rFonts w:ascii="楷体" w:hAnsi="楷体" w:eastAsia="楷体" w:cs="Times New Roman"/>
          <w:szCs w:val="21"/>
        </w:rPr>
        <w:t>交易</w:t>
      </w:r>
      <w:r>
        <w:rPr>
          <w:rFonts w:hint="eastAsia" w:ascii="楷体" w:hAnsi="楷体" w:eastAsia="楷体" w:cs="Times New Roman"/>
          <w:szCs w:val="21"/>
        </w:rPr>
        <w:t>的</w:t>
      </w:r>
      <w:r>
        <w:rPr>
          <w:rFonts w:ascii="楷体" w:hAnsi="楷体" w:eastAsia="楷体" w:cs="Times New Roman"/>
          <w:szCs w:val="21"/>
        </w:rPr>
        <w:t>待结算资金</w:t>
      </w:r>
      <w:r>
        <w:rPr>
          <w:rFonts w:hint="eastAsia" w:ascii="楷体" w:hAnsi="楷体" w:eastAsia="楷体" w:cs="Times New Roman"/>
          <w:szCs w:val="21"/>
        </w:rPr>
        <w:t>（</w:t>
      </w:r>
      <w:r>
        <w:rPr>
          <w:rFonts w:ascii="楷体" w:hAnsi="楷体" w:eastAsia="楷体" w:cs="Times New Roman"/>
          <w:szCs w:val="21"/>
        </w:rPr>
        <w:t>该</w:t>
      </w:r>
      <w:r>
        <w:rPr>
          <w:rFonts w:hint="eastAsia" w:ascii="楷体" w:hAnsi="楷体" w:eastAsia="楷体" w:cs="Times New Roman"/>
          <w:szCs w:val="21"/>
        </w:rPr>
        <w:t>待结算</w:t>
      </w:r>
      <w:r>
        <w:rPr>
          <w:rFonts w:ascii="楷体" w:hAnsi="楷体" w:eastAsia="楷体" w:cs="Times New Roman"/>
          <w:szCs w:val="21"/>
        </w:rPr>
        <w:t>资</w:t>
      </w:r>
      <w:r>
        <w:rPr>
          <w:rFonts w:hint="eastAsia" w:ascii="楷体" w:hAnsi="楷体" w:eastAsia="楷体" w:cs="Times New Roman"/>
          <w:szCs w:val="21"/>
        </w:rPr>
        <w:t>金为</w:t>
      </w:r>
      <w:r>
        <w:rPr>
          <w:rFonts w:ascii="楷体" w:hAnsi="楷体" w:eastAsia="楷体" w:cs="Times New Roman"/>
          <w:szCs w:val="21"/>
        </w:rPr>
        <w:t>交易资金</w:t>
      </w:r>
      <w:r>
        <w:rPr>
          <w:rFonts w:hint="eastAsia" w:ascii="楷体" w:hAnsi="楷体" w:eastAsia="楷体" w:cs="Times New Roman"/>
          <w:szCs w:val="21"/>
        </w:rPr>
        <w:t>扣除交易</w:t>
      </w:r>
      <w:r>
        <w:rPr>
          <w:rFonts w:ascii="楷体" w:hAnsi="楷体" w:eastAsia="楷体" w:cs="Times New Roman"/>
          <w:szCs w:val="21"/>
        </w:rPr>
        <w:t>手续费</w:t>
      </w:r>
      <w:r>
        <w:rPr>
          <w:rFonts w:hint="eastAsia" w:ascii="楷体" w:hAnsi="楷体" w:eastAsia="楷体" w:cs="Times New Roman"/>
          <w:szCs w:val="21"/>
        </w:rPr>
        <w:t>后的</w:t>
      </w:r>
      <w:r>
        <w:rPr>
          <w:rFonts w:ascii="楷体" w:hAnsi="楷体" w:eastAsia="楷体" w:cs="Times New Roman"/>
          <w:szCs w:val="21"/>
        </w:rPr>
        <w:t>金额</w:t>
      </w:r>
      <w:r>
        <w:rPr>
          <w:rFonts w:hint="eastAsia" w:ascii="楷体" w:hAnsi="楷体" w:eastAsia="楷体" w:cs="Times New Roman"/>
          <w:szCs w:val="21"/>
        </w:rPr>
        <w:t>），扣除增值服务手续费后即时结算至甲方指定账户的服务。</w:t>
      </w:r>
    </w:p>
    <w:p>
      <w:pPr>
        <w:adjustRightInd w:val="0"/>
        <w:snapToGrid w:val="0"/>
        <w:ind w:firstLine="420" w:firstLineChars="200"/>
        <w:rPr>
          <w:rFonts w:ascii="楷体" w:hAnsi="楷体" w:eastAsia="楷体" w:cs="Times New Roman"/>
          <w:szCs w:val="21"/>
        </w:rPr>
      </w:pPr>
      <w:r>
        <w:rPr>
          <w:rFonts w:hint="eastAsia" w:ascii="楷体" w:hAnsi="楷体" w:eastAsia="楷体" w:cs="Times New Roman"/>
          <w:szCs w:val="21"/>
        </w:rPr>
        <w:t>入网不满90日或者入网后连续正常交易不满30日的商户，乙方有权不向其提供上述</w:t>
      </w:r>
      <w:r>
        <w:rPr>
          <w:rFonts w:ascii="楷体" w:hAnsi="楷体" w:eastAsia="楷体" w:cs="Times New Roman"/>
          <w:szCs w:val="21"/>
        </w:rPr>
        <w:t>服务</w:t>
      </w:r>
      <w:r>
        <w:rPr>
          <w:rFonts w:hint="eastAsia" w:ascii="楷体" w:hAnsi="楷体" w:eastAsia="楷体" w:cs="Times New Roman"/>
          <w:szCs w:val="21"/>
        </w:rPr>
        <w:t>。</w:t>
      </w:r>
    </w:p>
    <w:p>
      <w:pPr>
        <w:adjustRightInd w:val="0"/>
        <w:snapToGrid w:val="0"/>
        <w:ind w:firstLine="420" w:firstLineChars="200"/>
        <w:rPr>
          <w:rFonts w:ascii="楷体" w:hAnsi="楷体" w:eastAsia="楷体" w:cs="Times New Roman"/>
          <w:szCs w:val="21"/>
        </w:rPr>
      </w:pPr>
      <w:r>
        <w:rPr>
          <w:rFonts w:hint="eastAsia" w:ascii="楷体" w:hAnsi="楷体" w:eastAsia="楷体" w:cs="Times New Roman"/>
          <w:szCs w:val="21"/>
        </w:rPr>
        <w:t>乙方有权根据甲方资信状况或者银行、监管机构的风险控制要求等因素调整上述交易限额或暂停向甲方提供本协议</w:t>
      </w:r>
      <w:r>
        <w:rPr>
          <w:rFonts w:ascii="楷体" w:hAnsi="楷体" w:eastAsia="楷体" w:cs="Times New Roman"/>
          <w:szCs w:val="21"/>
        </w:rPr>
        <w:t>约定的</w:t>
      </w:r>
      <w:r>
        <w:rPr>
          <w:rFonts w:hint="eastAsia" w:ascii="楷体" w:hAnsi="楷体" w:eastAsia="楷体" w:cs="Times New Roman"/>
          <w:szCs w:val="21"/>
        </w:rPr>
        <w:t>增值服务。</w:t>
      </w:r>
    </w:p>
    <w:p>
      <w:pPr>
        <w:pStyle w:val="12"/>
        <w:numPr>
          <w:ilvl w:val="0"/>
          <w:numId w:val="6"/>
        </w:numPr>
        <w:ind w:firstLineChars="0"/>
        <w:rPr>
          <w:rFonts w:ascii="楷体" w:hAnsi="楷体" w:eastAsia="楷体" w:cs="Times New Roman"/>
          <w:b/>
          <w:sz w:val="18"/>
          <w:szCs w:val="21"/>
        </w:rPr>
      </w:pPr>
      <w:r>
        <w:rPr>
          <w:rFonts w:hint="eastAsia" w:ascii="楷体" w:hAnsi="楷体" w:eastAsia="楷体" w:cs="Times New Roman"/>
          <w:b/>
          <w:szCs w:val="21"/>
        </w:rPr>
        <w:t>花呗分期产品：</w:t>
      </w:r>
      <w:r>
        <w:rPr>
          <w:rFonts w:ascii="楷体" w:hAnsi="楷体" w:eastAsia="楷体"/>
          <w:szCs w:val="24"/>
          <w:lang w:val="zh-CN"/>
        </w:rPr>
        <w:t>指</w:t>
      </w:r>
      <w:r>
        <w:rPr>
          <w:rFonts w:hint="eastAsia" w:ascii="楷体" w:hAnsi="楷体" w:eastAsia="楷体"/>
          <w:szCs w:val="24"/>
          <w:lang w:val="zh-CN"/>
        </w:rPr>
        <w:t>杭州蚂蚁金服信息技术有限公司的</w:t>
      </w:r>
      <w:r>
        <w:rPr>
          <w:rFonts w:ascii="楷体" w:hAnsi="楷体" w:eastAsia="楷体"/>
          <w:szCs w:val="24"/>
          <w:lang w:val="zh-CN"/>
        </w:rPr>
        <w:t>“花呗”消费金融产品项下，由适格主体向客户提供的使用授信资金付款，并确定分期还款期数和还款金额的服务。花呗分期产品结算周期默认</w:t>
      </w:r>
      <w:r>
        <w:rPr>
          <w:rFonts w:hint="eastAsia" w:ascii="楷体" w:hAnsi="楷体" w:eastAsia="楷体"/>
          <w:szCs w:val="24"/>
          <w:lang w:val="zh-CN"/>
        </w:rPr>
        <w:t>与</w:t>
      </w:r>
      <w:r>
        <w:rPr>
          <w:rFonts w:ascii="楷体" w:hAnsi="楷体" w:eastAsia="楷体"/>
          <w:szCs w:val="24"/>
          <w:lang w:val="zh-CN"/>
        </w:rPr>
        <w:t>银行卡收单产品一致</w:t>
      </w:r>
      <w:r>
        <w:rPr>
          <w:rFonts w:hint="eastAsia" w:ascii="楷体" w:hAnsi="楷体" w:eastAsia="楷体"/>
          <w:szCs w:val="24"/>
          <w:lang w:val="zh-CN"/>
        </w:rPr>
        <w:t>，乙方在成功</w:t>
      </w:r>
      <w:r>
        <w:rPr>
          <w:rFonts w:ascii="楷体" w:hAnsi="楷体" w:eastAsia="楷体"/>
          <w:szCs w:val="24"/>
          <w:lang w:val="zh-CN"/>
        </w:rPr>
        <w:t>交易</w:t>
      </w:r>
      <w:r>
        <w:rPr>
          <w:rFonts w:hint="eastAsia" w:ascii="楷体" w:hAnsi="楷体" w:eastAsia="楷体"/>
          <w:szCs w:val="24"/>
          <w:lang w:val="zh-CN"/>
        </w:rPr>
        <w:t>的</w:t>
      </w:r>
      <w:r>
        <w:rPr>
          <w:rFonts w:ascii="楷体" w:hAnsi="楷体" w:eastAsia="楷体"/>
          <w:szCs w:val="24"/>
          <w:lang w:val="zh-CN"/>
        </w:rPr>
        <w:t>待结算资金中</w:t>
      </w:r>
      <w:r>
        <w:rPr>
          <w:rFonts w:hint="eastAsia" w:ascii="楷体" w:hAnsi="楷体" w:eastAsia="楷体"/>
          <w:szCs w:val="24"/>
          <w:lang w:val="zh-CN"/>
        </w:rPr>
        <w:t>扣除首页约定相应手续费后，结算至甲方指定账户。甲方知悉，甲方使用花呗分期业务时，如选择开通代偿模式的，则乙方于成功</w:t>
      </w:r>
      <w:r>
        <w:rPr>
          <w:rFonts w:ascii="楷体" w:hAnsi="楷体" w:eastAsia="楷体"/>
          <w:szCs w:val="24"/>
          <w:lang w:val="zh-CN"/>
        </w:rPr>
        <w:t>交易</w:t>
      </w:r>
      <w:r>
        <w:rPr>
          <w:rFonts w:hint="eastAsia" w:ascii="楷体" w:hAnsi="楷体" w:eastAsia="楷体"/>
          <w:szCs w:val="24"/>
          <w:lang w:val="zh-CN"/>
        </w:rPr>
        <w:t>的</w:t>
      </w:r>
      <w:r>
        <w:rPr>
          <w:rFonts w:ascii="楷体" w:hAnsi="楷体" w:eastAsia="楷体"/>
          <w:szCs w:val="24"/>
          <w:lang w:val="zh-CN"/>
        </w:rPr>
        <w:t>待结算资金</w:t>
      </w:r>
      <w:r>
        <w:rPr>
          <w:rFonts w:hint="eastAsia" w:ascii="楷体" w:hAnsi="楷体" w:eastAsia="楷体"/>
          <w:szCs w:val="24"/>
          <w:lang w:val="zh-CN"/>
        </w:rPr>
        <w:t>（</w:t>
      </w:r>
      <w:r>
        <w:rPr>
          <w:rFonts w:ascii="楷体" w:hAnsi="楷体" w:eastAsia="楷体"/>
          <w:szCs w:val="24"/>
          <w:lang w:val="zh-CN"/>
        </w:rPr>
        <w:t>该</w:t>
      </w:r>
      <w:r>
        <w:rPr>
          <w:rFonts w:hint="eastAsia" w:ascii="楷体" w:hAnsi="楷体" w:eastAsia="楷体"/>
          <w:szCs w:val="24"/>
          <w:lang w:val="zh-CN"/>
        </w:rPr>
        <w:t>待结算</w:t>
      </w:r>
      <w:r>
        <w:rPr>
          <w:rFonts w:ascii="楷体" w:hAnsi="楷体" w:eastAsia="楷体"/>
          <w:szCs w:val="24"/>
          <w:lang w:val="zh-CN"/>
        </w:rPr>
        <w:t>资</w:t>
      </w:r>
      <w:r>
        <w:rPr>
          <w:rFonts w:hint="eastAsia" w:ascii="楷体" w:hAnsi="楷体" w:eastAsia="楷体"/>
          <w:szCs w:val="24"/>
          <w:lang w:val="zh-CN"/>
        </w:rPr>
        <w:t>金</w:t>
      </w:r>
      <w:r>
        <w:rPr>
          <w:rFonts w:hint="eastAsia" w:ascii="楷体" w:hAnsi="楷体" w:eastAsia="楷体" w:cs="Times New Roman"/>
          <w:szCs w:val="21"/>
        </w:rPr>
        <w:t>为</w:t>
      </w:r>
      <w:r>
        <w:rPr>
          <w:rFonts w:ascii="楷体" w:hAnsi="楷体" w:eastAsia="楷体" w:cs="Times New Roman"/>
          <w:szCs w:val="21"/>
        </w:rPr>
        <w:t>交易资金</w:t>
      </w:r>
      <w:r>
        <w:rPr>
          <w:rFonts w:hint="eastAsia" w:ascii="楷体" w:hAnsi="楷体" w:eastAsia="楷体" w:cs="Times New Roman"/>
          <w:szCs w:val="21"/>
        </w:rPr>
        <w:t>扣除交易</w:t>
      </w:r>
      <w:r>
        <w:rPr>
          <w:rFonts w:ascii="楷体" w:hAnsi="楷体" w:eastAsia="楷体" w:cs="Times New Roman"/>
          <w:szCs w:val="21"/>
        </w:rPr>
        <w:t>手续费</w:t>
      </w:r>
      <w:r>
        <w:rPr>
          <w:rFonts w:hint="eastAsia" w:ascii="楷体" w:hAnsi="楷体" w:eastAsia="楷体" w:cs="Times New Roman"/>
          <w:szCs w:val="21"/>
        </w:rPr>
        <w:t>后的</w:t>
      </w:r>
      <w:r>
        <w:rPr>
          <w:rFonts w:ascii="楷体" w:hAnsi="楷体" w:eastAsia="楷体" w:cs="Times New Roman"/>
          <w:szCs w:val="21"/>
        </w:rPr>
        <w:t>金额</w:t>
      </w:r>
      <w:r>
        <w:rPr>
          <w:rFonts w:hint="eastAsia" w:ascii="楷体" w:hAnsi="楷体" w:eastAsia="楷体" w:cs="Times New Roman"/>
          <w:szCs w:val="21"/>
        </w:rPr>
        <w:t>）中扣除代偿模式服务费后结算至甲方指定账户。</w:t>
      </w:r>
    </w:p>
    <w:p>
      <w:pPr>
        <w:pStyle w:val="12"/>
        <w:numPr>
          <w:ilvl w:val="0"/>
          <w:numId w:val="6"/>
        </w:numPr>
        <w:ind w:firstLineChars="0"/>
        <w:rPr>
          <w:rFonts w:ascii="楷体" w:hAnsi="楷体" w:eastAsia="楷体"/>
          <w:b/>
          <w:szCs w:val="21"/>
        </w:rPr>
      </w:pPr>
      <w:r>
        <w:rPr>
          <w:rFonts w:hint="eastAsia" w:ascii="楷体" w:hAnsi="楷体" w:eastAsia="楷体"/>
          <w:b/>
          <w:szCs w:val="21"/>
        </w:rPr>
        <w:t>网络支付产品：甲方使用乙方网络支付接口发起支付指令，乙方按照甲方指令扣除首页约定相应手续费，按首页约定的结算周期，结算至甲方指定账户。甲方开通取现功能可支持开通自动结算。</w:t>
      </w:r>
    </w:p>
    <w:p>
      <w:pPr>
        <w:ind w:firstLine="420" w:firstLineChars="200"/>
        <w:rPr>
          <w:rFonts w:ascii="楷体" w:hAnsi="楷体" w:eastAsia="楷体" w:cs="Times New Roman"/>
          <w:szCs w:val="21"/>
        </w:rPr>
      </w:pPr>
      <w:r>
        <w:rPr>
          <w:rFonts w:hint="eastAsia" w:ascii="楷体" w:hAnsi="楷体" w:eastAsia="楷体" w:cs="Times New Roman"/>
          <w:szCs w:val="21"/>
        </w:rPr>
        <w:t>取现规则：</w:t>
      </w:r>
    </w:p>
    <w:p>
      <w:pPr>
        <w:pStyle w:val="12"/>
        <w:numPr>
          <w:ilvl w:val="0"/>
          <w:numId w:val="8"/>
        </w:numPr>
        <w:adjustRightInd w:val="0"/>
        <w:snapToGrid w:val="0"/>
        <w:ind w:firstLineChars="0"/>
        <w:rPr>
          <w:rFonts w:ascii="楷体_GB2312" w:hAnsi="Times New Roman" w:eastAsia="楷体_GB2312" w:cs="Times New Roman"/>
          <w:szCs w:val="21"/>
        </w:rPr>
      </w:pPr>
      <w:r>
        <w:rPr>
          <w:rFonts w:ascii="楷体_GB2312" w:hAnsi="Times New Roman" w:eastAsia="楷体_GB2312" w:cs="Times New Roman"/>
          <w:szCs w:val="21"/>
        </w:rPr>
        <w:t>T</w:t>
      </w:r>
      <w:r>
        <w:rPr>
          <w:rFonts w:hint="eastAsia" w:ascii="楷体_GB2312" w:hAnsi="Times New Roman" w:eastAsia="楷体_GB2312" w:cs="Times New Roman"/>
          <w:szCs w:val="21"/>
        </w:rPr>
        <w:t>+1日取现：乙方将</w:t>
      </w:r>
      <w:r>
        <w:rPr>
          <w:rFonts w:ascii="楷体_GB2312" w:hAnsi="Times New Roman" w:eastAsia="楷体_GB2312" w:cs="Times New Roman"/>
          <w:szCs w:val="21"/>
        </w:rPr>
        <w:t>T</w:t>
      </w:r>
      <w:r>
        <w:rPr>
          <w:rFonts w:hint="eastAsia" w:ascii="楷体_GB2312" w:hAnsi="Times New Roman" w:eastAsia="楷体_GB2312" w:cs="Times New Roman"/>
          <w:szCs w:val="21"/>
        </w:rPr>
        <w:t>日成功</w:t>
      </w:r>
      <w:r>
        <w:rPr>
          <w:rFonts w:ascii="楷体_GB2312" w:hAnsi="Times New Roman" w:eastAsia="楷体_GB2312" w:cs="Times New Roman"/>
          <w:szCs w:val="21"/>
        </w:rPr>
        <w:t>交易</w:t>
      </w:r>
      <w:r>
        <w:rPr>
          <w:rFonts w:hint="eastAsia" w:ascii="楷体_GB2312" w:hAnsi="Times New Roman" w:eastAsia="楷体_GB2312" w:cs="Times New Roman"/>
          <w:szCs w:val="21"/>
        </w:rPr>
        <w:t>的</w:t>
      </w:r>
      <w:r>
        <w:rPr>
          <w:rFonts w:ascii="楷体_GB2312" w:hAnsi="Times New Roman" w:eastAsia="楷体_GB2312" w:cs="Times New Roman"/>
          <w:szCs w:val="21"/>
        </w:rPr>
        <w:t>待结算资金</w:t>
      </w:r>
      <w:r>
        <w:rPr>
          <w:rFonts w:hint="eastAsia" w:ascii="楷体_GB2312" w:hAnsi="Times New Roman" w:eastAsia="楷体_GB2312" w:cs="Times New Roman"/>
          <w:szCs w:val="21"/>
        </w:rPr>
        <w:t>（</w:t>
      </w:r>
      <w:r>
        <w:rPr>
          <w:rFonts w:ascii="楷体_GB2312" w:hAnsi="Times New Roman" w:eastAsia="楷体_GB2312" w:cs="Times New Roman"/>
          <w:szCs w:val="21"/>
        </w:rPr>
        <w:t>该</w:t>
      </w:r>
      <w:r>
        <w:rPr>
          <w:rFonts w:hint="eastAsia" w:ascii="楷体_GB2312" w:hAnsi="Times New Roman" w:eastAsia="楷体_GB2312" w:cs="Times New Roman"/>
          <w:szCs w:val="21"/>
        </w:rPr>
        <w:t>待结算</w:t>
      </w:r>
      <w:r>
        <w:rPr>
          <w:rFonts w:ascii="楷体_GB2312" w:hAnsi="Times New Roman" w:eastAsia="楷体_GB2312" w:cs="Times New Roman"/>
          <w:szCs w:val="21"/>
        </w:rPr>
        <w:t>资</w:t>
      </w:r>
      <w:r>
        <w:rPr>
          <w:rFonts w:hint="eastAsia" w:ascii="楷体_GB2312" w:hAnsi="Times New Roman" w:eastAsia="楷体_GB2312" w:cs="Times New Roman"/>
          <w:szCs w:val="21"/>
        </w:rPr>
        <w:t>金为</w:t>
      </w:r>
      <w:r>
        <w:rPr>
          <w:rFonts w:ascii="楷体_GB2312" w:hAnsi="Times New Roman" w:eastAsia="楷体_GB2312" w:cs="Times New Roman"/>
          <w:szCs w:val="21"/>
        </w:rPr>
        <w:t>交易资金</w:t>
      </w:r>
      <w:r>
        <w:rPr>
          <w:rFonts w:hint="eastAsia" w:ascii="楷体_GB2312" w:hAnsi="Times New Roman" w:eastAsia="楷体_GB2312" w:cs="Times New Roman"/>
          <w:szCs w:val="21"/>
        </w:rPr>
        <w:t>扣除交易</w:t>
      </w:r>
      <w:r>
        <w:rPr>
          <w:rFonts w:ascii="楷体_GB2312" w:hAnsi="Times New Roman" w:eastAsia="楷体_GB2312" w:cs="Times New Roman"/>
          <w:szCs w:val="21"/>
        </w:rPr>
        <w:t>手续费</w:t>
      </w:r>
      <w:r>
        <w:rPr>
          <w:rFonts w:hint="eastAsia" w:ascii="楷体_GB2312" w:hAnsi="Times New Roman" w:eastAsia="楷体_GB2312" w:cs="Times New Roman"/>
          <w:szCs w:val="21"/>
        </w:rPr>
        <w:t>后的</w:t>
      </w:r>
      <w:r>
        <w:rPr>
          <w:rFonts w:ascii="楷体_GB2312" w:hAnsi="Times New Roman" w:eastAsia="楷体_GB2312" w:cs="Times New Roman"/>
          <w:szCs w:val="21"/>
        </w:rPr>
        <w:t>金额</w:t>
      </w:r>
      <w:r>
        <w:rPr>
          <w:rFonts w:hint="eastAsia" w:ascii="楷体_GB2312" w:hAnsi="Times New Roman" w:eastAsia="楷体_GB2312" w:cs="Times New Roman"/>
          <w:szCs w:val="21"/>
        </w:rPr>
        <w:t>），于</w:t>
      </w:r>
      <w:r>
        <w:rPr>
          <w:rFonts w:ascii="楷体_GB2312" w:hAnsi="Times New Roman" w:eastAsia="楷体_GB2312" w:cs="Times New Roman"/>
          <w:szCs w:val="21"/>
        </w:rPr>
        <w:t>T</w:t>
      </w:r>
      <w:r>
        <w:rPr>
          <w:rFonts w:hint="eastAsia" w:ascii="楷体_GB2312" w:hAnsi="Times New Roman" w:eastAsia="楷体_GB2312" w:cs="Times New Roman"/>
          <w:szCs w:val="21"/>
        </w:rPr>
        <w:t>+</w:t>
      </w:r>
      <w:r>
        <w:rPr>
          <w:rFonts w:ascii="楷体_GB2312" w:hAnsi="Times New Roman" w:eastAsia="楷体_GB2312" w:cs="Times New Roman"/>
          <w:szCs w:val="21"/>
        </w:rPr>
        <w:t>1</w:t>
      </w:r>
      <w:r>
        <w:rPr>
          <w:rFonts w:hint="eastAsia" w:ascii="楷体_GB2312" w:hAnsi="Times New Roman" w:eastAsia="楷体_GB2312" w:cs="Times New Roman"/>
          <w:szCs w:val="21"/>
        </w:rPr>
        <w:t>日扣除</w:t>
      </w:r>
      <w:r>
        <w:rPr>
          <w:rFonts w:ascii="楷体_GB2312" w:hAnsi="Times New Roman" w:eastAsia="楷体_GB2312" w:cs="Times New Roman"/>
          <w:szCs w:val="21"/>
        </w:rPr>
        <w:t>手续费</w:t>
      </w:r>
      <w:r>
        <w:rPr>
          <w:rFonts w:hint="eastAsia" w:ascii="楷体_GB2312" w:hAnsi="Times New Roman" w:eastAsia="楷体_GB2312" w:cs="Times New Roman"/>
          <w:szCs w:val="21"/>
        </w:rPr>
        <w:t>后</w:t>
      </w:r>
      <w:r>
        <w:rPr>
          <w:rFonts w:ascii="楷体_GB2312" w:hAnsi="Times New Roman" w:eastAsia="楷体_GB2312" w:cs="Times New Roman"/>
          <w:szCs w:val="21"/>
        </w:rPr>
        <w:t>结算</w:t>
      </w:r>
      <w:r>
        <w:rPr>
          <w:rFonts w:hint="eastAsia" w:ascii="楷体_GB2312" w:hAnsi="Times New Roman" w:eastAsia="楷体_GB2312" w:cs="Times New Roman"/>
          <w:szCs w:val="21"/>
        </w:rPr>
        <w:t>至甲方银行</w:t>
      </w:r>
      <w:r>
        <w:rPr>
          <w:rFonts w:ascii="楷体_GB2312" w:hAnsi="Times New Roman" w:eastAsia="楷体_GB2312" w:cs="Times New Roman"/>
          <w:szCs w:val="21"/>
        </w:rPr>
        <w:t>账户</w:t>
      </w:r>
      <w:r>
        <w:rPr>
          <w:rFonts w:hint="eastAsia" w:ascii="楷体_GB2312" w:hAnsi="Times New Roman" w:eastAsia="楷体_GB2312" w:cs="Times New Roman"/>
          <w:szCs w:val="21"/>
        </w:rPr>
        <w:t>的</w:t>
      </w:r>
      <w:r>
        <w:rPr>
          <w:rFonts w:ascii="楷体_GB2312" w:hAnsi="Times New Roman" w:eastAsia="楷体_GB2312" w:cs="Times New Roman"/>
          <w:szCs w:val="21"/>
        </w:rPr>
        <w:t>服务。</w:t>
      </w:r>
      <w:r>
        <w:rPr>
          <w:rFonts w:hint="eastAsia" w:ascii="楷体_GB2312" w:hAnsi="Times New Roman" w:eastAsia="楷体_GB2312" w:cs="Times New Roman"/>
          <w:b/>
          <w:szCs w:val="21"/>
        </w:rPr>
        <w:t>网络支付取现或自动取现默认为T+</w:t>
      </w:r>
      <w:r>
        <w:rPr>
          <w:rFonts w:ascii="楷体_GB2312" w:hAnsi="Times New Roman" w:eastAsia="楷体_GB2312" w:cs="Times New Roman"/>
          <w:b/>
          <w:szCs w:val="21"/>
        </w:rPr>
        <w:t>1</w:t>
      </w:r>
      <w:r>
        <w:rPr>
          <w:rFonts w:hint="eastAsia" w:ascii="楷体_GB2312" w:hAnsi="Times New Roman" w:eastAsia="楷体_GB2312" w:cs="Times New Roman"/>
          <w:b/>
          <w:szCs w:val="21"/>
        </w:rPr>
        <w:t>日结算。</w:t>
      </w:r>
    </w:p>
    <w:p>
      <w:pPr>
        <w:pStyle w:val="12"/>
        <w:numPr>
          <w:ilvl w:val="0"/>
          <w:numId w:val="8"/>
        </w:numPr>
        <w:adjustRightInd w:val="0"/>
        <w:snapToGrid w:val="0"/>
        <w:ind w:firstLineChars="0"/>
        <w:rPr>
          <w:rFonts w:ascii="楷体_GB2312" w:hAnsi="Times New Roman" w:eastAsia="楷体_GB2312" w:cs="Times New Roman"/>
          <w:szCs w:val="21"/>
        </w:rPr>
      </w:pPr>
      <w:r>
        <w:rPr>
          <w:rFonts w:ascii="楷体_GB2312" w:hAnsi="Times New Roman" w:eastAsia="楷体_GB2312" w:cs="Times New Roman"/>
          <w:szCs w:val="21"/>
        </w:rPr>
        <w:t>T</w:t>
      </w:r>
      <w:r>
        <w:rPr>
          <w:rFonts w:hint="eastAsia" w:ascii="楷体_GB2312" w:hAnsi="Times New Roman" w:eastAsia="楷体_GB2312" w:cs="Times New Roman"/>
          <w:szCs w:val="21"/>
        </w:rPr>
        <w:t>日取现：乙方将</w:t>
      </w:r>
      <w:r>
        <w:rPr>
          <w:rFonts w:ascii="楷体_GB2312" w:hAnsi="Times New Roman" w:eastAsia="楷体_GB2312" w:cs="Times New Roman"/>
          <w:szCs w:val="21"/>
        </w:rPr>
        <w:t>T</w:t>
      </w:r>
      <w:r>
        <w:rPr>
          <w:rFonts w:hint="eastAsia" w:ascii="楷体_GB2312" w:hAnsi="Times New Roman" w:eastAsia="楷体_GB2312" w:cs="Times New Roman"/>
          <w:szCs w:val="21"/>
        </w:rPr>
        <w:t>日</w:t>
      </w:r>
      <w:r>
        <w:rPr>
          <w:rFonts w:ascii="楷体_GB2312" w:hAnsi="Times New Roman" w:eastAsia="楷体_GB2312" w:cs="Times New Roman"/>
          <w:szCs w:val="21"/>
        </w:rPr>
        <w:t>成功交易的待结算资金</w:t>
      </w:r>
      <w:r>
        <w:rPr>
          <w:rFonts w:hint="eastAsia" w:ascii="楷体_GB2312" w:hAnsi="Times New Roman" w:eastAsia="楷体_GB2312" w:cs="Times New Roman"/>
          <w:szCs w:val="21"/>
        </w:rPr>
        <w:t>（</w:t>
      </w:r>
      <w:r>
        <w:rPr>
          <w:rFonts w:ascii="楷体_GB2312" w:hAnsi="Times New Roman" w:eastAsia="楷体_GB2312" w:cs="Times New Roman"/>
          <w:szCs w:val="21"/>
        </w:rPr>
        <w:t>该</w:t>
      </w:r>
      <w:r>
        <w:rPr>
          <w:rFonts w:hint="eastAsia" w:ascii="楷体_GB2312" w:hAnsi="Times New Roman" w:eastAsia="楷体_GB2312" w:cs="Times New Roman"/>
          <w:szCs w:val="21"/>
        </w:rPr>
        <w:t>待结算</w:t>
      </w:r>
      <w:r>
        <w:rPr>
          <w:rFonts w:ascii="楷体_GB2312" w:hAnsi="Times New Roman" w:eastAsia="楷体_GB2312" w:cs="Times New Roman"/>
          <w:szCs w:val="21"/>
        </w:rPr>
        <w:t>资</w:t>
      </w:r>
      <w:r>
        <w:rPr>
          <w:rFonts w:hint="eastAsia" w:ascii="楷体_GB2312" w:hAnsi="Times New Roman" w:eastAsia="楷体_GB2312" w:cs="Times New Roman"/>
          <w:szCs w:val="21"/>
        </w:rPr>
        <w:t>金为</w:t>
      </w:r>
      <w:r>
        <w:rPr>
          <w:rFonts w:ascii="楷体_GB2312" w:hAnsi="Times New Roman" w:eastAsia="楷体_GB2312" w:cs="Times New Roman"/>
          <w:szCs w:val="21"/>
        </w:rPr>
        <w:t>交易资金</w:t>
      </w:r>
      <w:r>
        <w:rPr>
          <w:rFonts w:hint="eastAsia" w:ascii="楷体_GB2312" w:hAnsi="Times New Roman" w:eastAsia="楷体_GB2312" w:cs="Times New Roman"/>
          <w:szCs w:val="21"/>
        </w:rPr>
        <w:t>扣除交易</w:t>
      </w:r>
      <w:r>
        <w:rPr>
          <w:rFonts w:ascii="楷体_GB2312" w:hAnsi="Times New Roman" w:eastAsia="楷体_GB2312" w:cs="Times New Roman"/>
          <w:szCs w:val="21"/>
        </w:rPr>
        <w:t>手续费</w:t>
      </w:r>
      <w:r>
        <w:rPr>
          <w:rFonts w:hint="eastAsia" w:ascii="楷体_GB2312" w:hAnsi="Times New Roman" w:eastAsia="楷体_GB2312" w:cs="Times New Roman"/>
          <w:szCs w:val="21"/>
        </w:rPr>
        <w:t>后的</w:t>
      </w:r>
      <w:r>
        <w:rPr>
          <w:rFonts w:ascii="楷体_GB2312" w:hAnsi="Times New Roman" w:eastAsia="楷体_GB2312" w:cs="Times New Roman"/>
          <w:szCs w:val="21"/>
        </w:rPr>
        <w:t>金额</w:t>
      </w:r>
      <w:r>
        <w:rPr>
          <w:rFonts w:hint="eastAsia" w:ascii="楷体_GB2312" w:hAnsi="Times New Roman" w:eastAsia="楷体_GB2312" w:cs="Times New Roman"/>
          <w:szCs w:val="21"/>
        </w:rPr>
        <w:t>），</w:t>
      </w:r>
      <w:r>
        <w:rPr>
          <w:rFonts w:ascii="楷体_GB2312" w:hAnsi="Times New Roman" w:eastAsia="楷体_GB2312" w:cs="Times New Roman"/>
          <w:szCs w:val="21"/>
        </w:rPr>
        <w:t>于T</w:t>
      </w:r>
      <w:r>
        <w:rPr>
          <w:rFonts w:hint="eastAsia" w:ascii="楷体_GB2312" w:hAnsi="Times New Roman" w:eastAsia="楷体_GB2312" w:cs="Times New Roman"/>
          <w:szCs w:val="21"/>
        </w:rPr>
        <w:t>日当日扣除</w:t>
      </w:r>
      <w:r>
        <w:rPr>
          <w:rFonts w:ascii="楷体_GB2312" w:hAnsi="Times New Roman" w:eastAsia="楷体_GB2312" w:cs="Times New Roman"/>
          <w:szCs w:val="21"/>
        </w:rPr>
        <w:t>手续费</w:t>
      </w:r>
      <w:r>
        <w:rPr>
          <w:rFonts w:hint="eastAsia" w:ascii="楷体_GB2312" w:hAnsi="Times New Roman" w:eastAsia="楷体_GB2312" w:cs="Times New Roman"/>
          <w:szCs w:val="21"/>
        </w:rPr>
        <w:t>后</w:t>
      </w:r>
      <w:r>
        <w:rPr>
          <w:rFonts w:ascii="楷体_GB2312" w:hAnsi="Times New Roman" w:eastAsia="楷体_GB2312" w:cs="Times New Roman"/>
          <w:szCs w:val="21"/>
        </w:rPr>
        <w:t>自动结算至甲方银行账户</w:t>
      </w:r>
      <w:r>
        <w:rPr>
          <w:rFonts w:hint="eastAsia" w:ascii="楷体_GB2312" w:hAnsi="Times New Roman" w:eastAsia="楷体_GB2312" w:cs="Times New Roman"/>
          <w:szCs w:val="21"/>
        </w:rPr>
        <w:t>的</w:t>
      </w:r>
      <w:r>
        <w:rPr>
          <w:rFonts w:ascii="楷体_GB2312" w:hAnsi="Times New Roman" w:eastAsia="楷体_GB2312" w:cs="Times New Roman"/>
          <w:szCs w:val="21"/>
        </w:rPr>
        <w:t>服务。</w:t>
      </w:r>
    </w:p>
    <w:p>
      <w:pPr>
        <w:pStyle w:val="12"/>
        <w:numPr>
          <w:ilvl w:val="0"/>
          <w:numId w:val="8"/>
        </w:numPr>
        <w:adjustRightInd w:val="0"/>
        <w:snapToGrid w:val="0"/>
        <w:ind w:firstLineChars="0"/>
        <w:rPr>
          <w:rFonts w:ascii="楷体_GB2312" w:hAnsi="Times New Roman" w:eastAsia="楷体_GB2312" w:cs="Times New Roman"/>
          <w:szCs w:val="21"/>
        </w:rPr>
      </w:pPr>
      <w:r>
        <w:rPr>
          <w:rFonts w:ascii="楷体_GB2312" w:hAnsi="Times New Roman" w:eastAsia="楷体_GB2312" w:cs="Times New Roman"/>
          <w:szCs w:val="21"/>
        </w:rPr>
        <w:t>D</w:t>
      </w:r>
      <w:r>
        <w:rPr>
          <w:rFonts w:hint="eastAsia" w:ascii="楷体_GB2312" w:hAnsi="Times New Roman" w:eastAsia="楷体_GB2312" w:cs="Times New Roman"/>
          <w:szCs w:val="21"/>
        </w:rPr>
        <w:t>日取现：乙方于交易日D日当日（包括工作日和非工作日）将甲方当日交易成功的交易款项即时扣除手续费后结算至甲方银行账户的服务。</w:t>
      </w:r>
    </w:p>
    <w:p>
      <w:pPr>
        <w:adjustRightInd w:val="0"/>
        <w:snapToGrid w:val="0"/>
        <w:ind w:firstLine="420" w:firstLineChars="200"/>
        <w:rPr>
          <w:rFonts w:ascii="楷体_GB2312" w:hAnsi="Times New Roman" w:eastAsia="楷体_GB2312" w:cs="Times New Roman"/>
          <w:szCs w:val="21"/>
        </w:rPr>
      </w:pPr>
      <w:r>
        <w:rPr>
          <w:rFonts w:hint="eastAsia" w:ascii="楷体_GB2312" w:hAnsi="Times New Roman" w:eastAsia="楷体_GB2312" w:cs="Times New Roman"/>
          <w:szCs w:val="21"/>
        </w:rPr>
        <w:t>入网不满90日或者入网后连续正常交易不满30日的商户，乙方有权不向其提供上述</w:t>
      </w:r>
      <w:r>
        <w:rPr>
          <w:rFonts w:ascii="楷体_GB2312" w:hAnsi="Times New Roman" w:eastAsia="楷体_GB2312" w:cs="Times New Roman"/>
          <w:szCs w:val="21"/>
        </w:rPr>
        <w:t>服务</w:t>
      </w:r>
      <w:r>
        <w:rPr>
          <w:rFonts w:hint="eastAsia" w:ascii="楷体_GB2312" w:hAnsi="Times New Roman" w:eastAsia="楷体_GB2312" w:cs="Times New Roman"/>
          <w:szCs w:val="21"/>
        </w:rPr>
        <w:t>。</w:t>
      </w:r>
    </w:p>
    <w:p>
      <w:pPr>
        <w:adjustRightInd w:val="0"/>
        <w:snapToGrid w:val="0"/>
        <w:ind w:firstLine="420" w:firstLineChars="200"/>
        <w:rPr>
          <w:rFonts w:ascii="楷体_GB2312" w:hAnsi="Times New Roman" w:eastAsia="楷体_GB2312" w:cs="Times New Roman"/>
          <w:szCs w:val="21"/>
        </w:rPr>
      </w:pPr>
      <w:r>
        <w:rPr>
          <w:rFonts w:hint="eastAsia" w:ascii="楷体_GB2312" w:hAnsi="Times New Roman" w:eastAsia="楷体_GB2312" w:cs="Times New Roman"/>
          <w:szCs w:val="21"/>
        </w:rPr>
        <w:t>乙方有权根据甲方资信状况或者银行、监管机构的风险控制要求等因素调整上述交易限额或暂停向甲方提供本协议</w:t>
      </w:r>
      <w:r>
        <w:rPr>
          <w:rFonts w:ascii="楷体_GB2312" w:hAnsi="Times New Roman" w:eastAsia="楷体_GB2312" w:cs="Times New Roman"/>
          <w:szCs w:val="21"/>
        </w:rPr>
        <w:t>约定的</w:t>
      </w:r>
      <w:r>
        <w:rPr>
          <w:rFonts w:hint="eastAsia" w:ascii="楷体_GB2312" w:hAnsi="Times New Roman" w:eastAsia="楷体_GB2312" w:cs="Times New Roman"/>
          <w:szCs w:val="21"/>
        </w:rPr>
        <w:t>增值服务。</w:t>
      </w:r>
    </w:p>
    <w:p>
      <w:pPr>
        <w:ind w:firstLine="420" w:firstLineChars="200"/>
        <w:rPr>
          <w:rFonts w:ascii="楷体_GB2312" w:hAnsi="Times New Roman" w:eastAsia="楷体_GB2312" w:cs="Times New Roman"/>
          <w:szCs w:val="21"/>
        </w:rPr>
      </w:pPr>
      <w:r>
        <w:rPr>
          <w:rFonts w:hint="eastAsia" w:ascii="楷体_GB2312" w:hAnsi="Times New Roman" w:eastAsia="楷体_GB2312" w:cs="Times New Roman"/>
          <w:szCs w:val="21"/>
        </w:rPr>
        <w:t>分账结算规则：</w:t>
      </w:r>
      <w:r>
        <w:rPr>
          <w:rFonts w:hint="eastAsia" w:ascii="楷体" w:hAnsi="楷体" w:eastAsia="楷体"/>
          <w:szCs w:val="21"/>
        </w:rPr>
        <w:t>乙方根据甲方或甲方授权的分账发起方向乙方传输的指令，直接将待结算资金部分划付至甲方的账户，部分划付至分账接受方（如：供应商、平台、个人等）的账户。</w:t>
      </w:r>
      <w:r>
        <w:rPr>
          <w:rFonts w:hint="eastAsia" w:ascii="楷体" w:hAnsi="楷体" w:eastAsia="楷体"/>
          <w:b/>
          <w:szCs w:val="21"/>
        </w:rPr>
        <w:t>分账结算周期默认为T+</w:t>
      </w:r>
      <w:r>
        <w:rPr>
          <w:rFonts w:ascii="楷体" w:hAnsi="楷体" w:eastAsia="楷体"/>
          <w:b/>
          <w:szCs w:val="21"/>
        </w:rPr>
        <w:t>1工作日</w:t>
      </w:r>
      <w:r>
        <w:rPr>
          <w:rFonts w:hint="eastAsia" w:ascii="楷体" w:hAnsi="楷体" w:eastAsia="楷体"/>
          <w:b/>
          <w:szCs w:val="21"/>
        </w:rPr>
        <w:t>。</w:t>
      </w:r>
    </w:p>
    <w:p>
      <w:pPr>
        <w:pStyle w:val="12"/>
        <w:numPr>
          <w:ilvl w:val="0"/>
          <w:numId w:val="6"/>
        </w:numPr>
        <w:ind w:firstLineChars="0"/>
        <w:rPr>
          <w:rFonts w:ascii="楷体" w:hAnsi="楷体" w:eastAsia="楷体"/>
          <w:b/>
          <w:szCs w:val="21"/>
        </w:rPr>
      </w:pPr>
      <w:r>
        <w:rPr>
          <w:rFonts w:ascii="楷体" w:hAnsi="楷体" w:eastAsia="楷体"/>
          <w:b/>
          <w:szCs w:val="21"/>
        </w:rPr>
        <w:t>本协议下支付产品相关费用以协议</w:t>
      </w:r>
      <w:r>
        <w:rPr>
          <w:rFonts w:hint="eastAsia" w:ascii="楷体" w:hAnsi="楷体" w:eastAsia="楷体"/>
          <w:b/>
          <w:szCs w:val="21"/>
        </w:rPr>
        <w:t>首页</w:t>
      </w:r>
      <w:r>
        <w:rPr>
          <w:rFonts w:ascii="楷体" w:hAnsi="楷体" w:eastAsia="楷体"/>
          <w:b/>
          <w:szCs w:val="21"/>
        </w:rPr>
        <w:t>产品信息登记表</w:t>
      </w:r>
      <w:r>
        <w:rPr>
          <w:rFonts w:hint="eastAsia" w:ascii="楷体" w:hAnsi="楷体" w:eastAsia="楷体"/>
          <w:b/>
          <w:szCs w:val="21"/>
        </w:rPr>
        <w:t>约定为准。</w:t>
      </w:r>
    </w:p>
    <w:p>
      <w:pPr>
        <w:pStyle w:val="12"/>
        <w:numPr>
          <w:ilvl w:val="0"/>
          <w:numId w:val="6"/>
        </w:numPr>
        <w:ind w:firstLineChars="0"/>
        <w:rPr>
          <w:rFonts w:ascii="楷体" w:hAnsi="楷体" w:eastAsia="楷体"/>
          <w:b/>
          <w:szCs w:val="21"/>
        </w:rPr>
      </w:pPr>
      <w:r>
        <w:rPr>
          <w:rFonts w:hint="eastAsia" w:ascii="楷体" w:hAnsi="楷体" w:eastAsia="楷体"/>
          <w:b/>
          <w:szCs w:val="21"/>
        </w:rPr>
        <w:t>所有通过和使用乙方支付</w:t>
      </w:r>
      <w:r>
        <w:rPr>
          <w:rFonts w:ascii="楷体" w:hAnsi="楷体" w:eastAsia="楷体"/>
          <w:b/>
          <w:szCs w:val="21"/>
        </w:rPr>
        <w:t>服务</w:t>
      </w:r>
      <w:r>
        <w:rPr>
          <w:rFonts w:hint="eastAsia" w:ascii="楷体" w:hAnsi="楷体" w:eastAsia="楷体"/>
          <w:b/>
          <w:szCs w:val="21"/>
        </w:rPr>
        <w:t xml:space="preserve">进行流转、存放、提现的资金，在任何情况下均不产生任何形式的利息。 </w:t>
      </w:r>
    </w:p>
    <w:p>
      <w:pPr>
        <w:rPr>
          <w:rFonts w:ascii="楷体" w:hAnsi="楷体" w:eastAsia="楷体"/>
          <w:b/>
          <w:szCs w:val="21"/>
        </w:rPr>
      </w:pPr>
    </w:p>
    <w:p>
      <w:pPr>
        <w:pStyle w:val="12"/>
        <w:numPr>
          <w:ilvl w:val="0"/>
          <w:numId w:val="3"/>
        </w:numPr>
        <w:ind w:firstLineChars="0"/>
        <w:rPr>
          <w:rFonts w:ascii="楷体" w:hAnsi="楷体" w:eastAsia="楷体"/>
          <w:b/>
          <w:szCs w:val="21"/>
        </w:rPr>
      </w:pPr>
      <w:r>
        <w:rPr>
          <w:rFonts w:hint="eastAsia" w:ascii="楷体" w:hAnsi="楷体" w:eastAsia="楷体"/>
          <w:b/>
          <w:szCs w:val="21"/>
        </w:rPr>
        <w:t>调单规则</w:t>
      </w:r>
    </w:p>
    <w:p>
      <w:pPr>
        <w:pStyle w:val="12"/>
        <w:numPr>
          <w:ilvl w:val="0"/>
          <w:numId w:val="9"/>
        </w:numPr>
        <w:ind w:firstLineChars="0"/>
        <w:rPr>
          <w:rFonts w:ascii="楷体" w:hAnsi="楷体" w:eastAsia="楷体"/>
          <w:b/>
          <w:szCs w:val="21"/>
        </w:rPr>
      </w:pPr>
      <w:r>
        <w:rPr>
          <w:rFonts w:hint="eastAsia" w:ascii="楷体" w:hAnsi="楷体" w:eastAsia="楷体"/>
          <w:b/>
          <w:szCs w:val="21"/>
        </w:rPr>
        <w:t>甲方在收到乙方的调单通知后，应当立即暂停向客户提供商品或者服务，并在收到调单通知之日起两日内，根据调单通知的要求提供相关的交易信息资料并</w:t>
      </w:r>
      <w:r>
        <w:rPr>
          <w:rFonts w:ascii="楷体" w:hAnsi="楷体" w:eastAsia="楷体"/>
          <w:b/>
          <w:szCs w:val="21"/>
        </w:rPr>
        <w:t>按甲方要求提供证明资料</w:t>
      </w:r>
      <w:r>
        <w:rPr>
          <w:rFonts w:hint="eastAsia" w:ascii="楷体" w:hAnsi="楷体" w:eastAsia="楷体"/>
          <w:b/>
          <w:szCs w:val="21"/>
        </w:rPr>
        <w:t>等。</w:t>
      </w:r>
    </w:p>
    <w:p>
      <w:pPr>
        <w:pStyle w:val="12"/>
        <w:numPr>
          <w:ilvl w:val="0"/>
          <w:numId w:val="9"/>
        </w:numPr>
        <w:ind w:firstLineChars="0"/>
        <w:rPr>
          <w:rFonts w:ascii="楷体" w:hAnsi="楷体" w:eastAsia="楷体"/>
          <w:b/>
          <w:szCs w:val="21"/>
        </w:rPr>
      </w:pPr>
      <w:r>
        <w:rPr>
          <w:rFonts w:hint="eastAsia" w:ascii="楷体" w:hAnsi="楷体" w:eastAsia="楷体"/>
          <w:b/>
          <w:szCs w:val="21"/>
        </w:rPr>
        <w:t>甲方未能在规定期限内提供资料、未能按照调单通知的要求提供相关资料、提供的资料与要求不符或甲方不予配合提供相关资料的，应独立承担由此造成的全部损失（包括但不限于退单损失等），且乙方有权从甲方次日或此后的交易款中扣除相应款项或要求甲方交纳调单金额相应</w:t>
      </w:r>
      <w:r>
        <w:rPr>
          <w:rFonts w:ascii="楷体" w:hAnsi="楷体" w:eastAsia="楷体"/>
          <w:b/>
          <w:szCs w:val="21"/>
        </w:rPr>
        <w:t>款项</w:t>
      </w:r>
      <w:r>
        <w:rPr>
          <w:rFonts w:hint="eastAsia" w:ascii="楷体" w:hAnsi="楷体" w:eastAsia="楷体"/>
          <w:b/>
          <w:szCs w:val="21"/>
        </w:rPr>
        <w:t>等相应处理。</w:t>
      </w:r>
    </w:p>
    <w:p>
      <w:pPr>
        <w:pStyle w:val="12"/>
        <w:numPr>
          <w:ilvl w:val="0"/>
          <w:numId w:val="9"/>
        </w:numPr>
        <w:ind w:firstLineChars="0"/>
        <w:rPr>
          <w:rFonts w:ascii="楷体" w:hAnsi="楷体" w:eastAsia="楷体"/>
          <w:b/>
          <w:szCs w:val="21"/>
        </w:rPr>
      </w:pPr>
      <w:r>
        <w:rPr>
          <w:rFonts w:hint="eastAsia" w:ascii="楷体" w:hAnsi="楷体" w:eastAsia="楷体"/>
          <w:b/>
          <w:szCs w:val="21"/>
        </w:rPr>
        <w:t>为配合乙方调</w:t>
      </w:r>
      <w:r>
        <w:rPr>
          <w:rFonts w:ascii="楷体" w:hAnsi="楷体" w:eastAsia="楷体"/>
          <w:b/>
          <w:szCs w:val="21"/>
        </w:rPr>
        <w:t>单需求</w:t>
      </w:r>
      <w:r>
        <w:rPr>
          <w:rFonts w:hint="eastAsia" w:ascii="楷体" w:hAnsi="楷体" w:eastAsia="楷体"/>
          <w:b/>
          <w:szCs w:val="21"/>
        </w:rPr>
        <w:t>，甲方指定首页</w:t>
      </w:r>
      <w:r>
        <w:rPr>
          <w:rFonts w:ascii="楷体" w:hAnsi="楷体" w:eastAsia="楷体"/>
          <w:b/>
          <w:szCs w:val="21"/>
        </w:rPr>
        <w:t>的相应</w:t>
      </w:r>
      <w:r>
        <w:rPr>
          <w:rFonts w:hint="eastAsia" w:ascii="楷体" w:hAnsi="楷体" w:eastAsia="楷体"/>
          <w:b/>
          <w:szCs w:val="21"/>
        </w:rPr>
        <w:t>联系人为调单联系人及其联系方式，当调单联系人及联系方式发生变化时，应在两个工作日内书面告知乙方。否则，如发生紧急风险状况而乙方无法与调单联系人取得联系的，由此造成的损失由甲方承担全部责任。在甲方相关信息发生变化时，甲方应及时通知乙方以便甲方处于可联系状态，否则，乙方可以暂停结算等相应服务。待甲方与</w:t>
      </w:r>
      <w:r>
        <w:rPr>
          <w:rFonts w:ascii="楷体" w:hAnsi="楷体" w:eastAsia="楷体"/>
          <w:b/>
          <w:szCs w:val="21"/>
        </w:rPr>
        <w:t>乙方</w:t>
      </w:r>
      <w:r>
        <w:rPr>
          <w:rFonts w:hint="eastAsia" w:ascii="楷体" w:hAnsi="楷体" w:eastAsia="楷体"/>
          <w:b/>
          <w:szCs w:val="21"/>
        </w:rPr>
        <w:t>恢复联系并查明相关情况后乙方应及时提供恢复结算等相应服务。</w:t>
      </w:r>
    </w:p>
    <w:p>
      <w:pPr>
        <w:pStyle w:val="12"/>
        <w:numPr>
          <w:ilvl w:val="0"/>
          <w:numId w:val="9"/>
        </w:numPr>
        <w:ind w:firstLineChars="0"/>
        <w:rPr>
          <w:rFonts w:ascii="楷体" w:hAnsi="楷体" w:eastAsia="楷体"/>
          <w:b/>
          <w:szCs w:val="21"/>
        </w:rPr>
      </w:pPr>
      <w:r>
        <w:rPr>
          <w:rFonts w:hint="eastAsia" w:ascii="楷体" w:hAnsi="楷体" w:eastAsia="楷体"/>
          <w:b/>
          <w:szCs w:val="21"/>
        </w:rPr>
        <w:t>调单</w:t>
      </w:r>
      <w:r>
        <w:rPr>
          <w:rFonts w:ascii="楷体" w:hAnsi="楷体" w:eastAsia="楷体"/>
          <w:b/>
          <w:szCs w:val="21"/>
        </w:rPr>
        <w:t>联系人信息：</w:t>
      </w:r>
    </w:p>
    <w:p>
      <w:pPr>
        <w:pStyle w:val="12"/>
        <w:ind w:left="420" w:firstLine="0" w:firstLineChars="0"/>
        <w:rPr>
          <w:rFonts w:ascii="楷体" w:hAnsi="楷体" w:eastAsia="楷体"/>
          <w:b/>
          <w:szCs w:val="21"/>
        </w:rPr>
      </w:pPr>
      <w:r>
        <w:rPr>
          <w:rFonts w:hint="eastAsia" w:ascii="楷体" w:hAnsi="楷体" w:eastAsia="楷体"/>
          <w:b/>
          <w:szCs w:val="21"/>
        </w:rPr>
        <w:t>调单联系人方式同首页联系人。当调单联系人及联系方式发生变化时，应在两个工作日内书面告知乙方。否则，如发生紧急风险状况而乙方无法与调单联系人取得联系的，由此造成的损失由甲方承担全部责任。在甲方相关信息发生变化时，甲方应及时通知乙方以便甲方处于可联系状态，否则，乙方可以暂停结算等相应服务。待甲方与</w:t>
      </w:r>
      <w:r>
        <w:rPr>
          <w:rFonts w:ascii="楷体" w:hAnsi="楷体" w:eastAsia="楷体"/>
          <w:b/>
          <w:szCs w:val="21"/>
        </w:rPr>
        <w:t>乙方</w:t>
      </w:r>
      <w:r>
        <w:rPr>
          <w:rFonts w:hint="eastAsia" w:ascii="楷体" w:hAnsi="楷体" w:eastAsia="楷体"/>
          <w:b/>
          <w:szCs w:val="21"/>
        </w:rPr>
        <w:t>恢复联系并查明相关情况后乙方应及时提供恢复结算等相应服务。</w:t>
      </w:r>
    </w:p>
    <w:p>
      <w:pPr>
        <w:rPr>
          <w:rFonts w:ascii="楷体" w:hAnsi="楷体" w:eastAsia="楷体"/>
          <w:b/>
          <w:szCs w:val="21"/>
        </w:rPr>
      </w:pPr>
    </w:p>
    <w:p>
      <w:pPr>
        <w:pStyle w:val="12"/>
        <w:numPr>
          <w:ilvl w:val="0"/>
          <w:numId w:val="3"/>
        </w:numPr>
        <w:ind w:firstLineChars="0"/>
        <w:rPr>
          <w:rFonts w:ascii="楷体" w:hAnsi="楷体" w:eastAsia="楷体"/>
          <w:b/>
          <w:szCs w:val="21"/>
        </w:rPr>
      </w:pPr>
      <w:r>
        <w:rPr>
          <w:rFonts w:hint="eastAsia" w:ascii="楷体" w:hAnsi="楷体" w:eastAsia="楷体"/>
          <w:b/>
          <w:szCs w:val="21"/>
        </w:rPr>
        <w:t>个人金融信息</w:t>
      </w:r>
      <w:r>
        <w:rPr>
          <w:rFonts w:ascii="楷体" w:hAnsi="楷体" w:eastAsia="楷体"/>
          <w:b/>
          <w:szCs w:val="21"/>
        </w:rPr>
        <w:t>保护</w:t>
      </w:r>
      <w:r>
        <w:rPr>
          <w:rFonts w:hint="eastAsia" w:ascii="楷体" w:hAnsi="楷体" w:eastAsia="楷体"/>
          <w:b/>
          <w:szCs w:val="21"/>
        </w:rPr>
        <w:t>及保密</w:t>
      </w:r>
      <w:r>
        <w:rPr>
          <w:rFonts w:ascii="楷体" w:hAnsi="楷体" w:eastAsia="楷体"/>
          <w:b/>
          <w:szCs w:val="21"/>
        </w:rPr>
        <w:t>条款</w:t>
      </w:r>
    </w:p>
    <w:p>
      <w:pPr>
        <w:pStyle w:val="12"/>
        <w:numPr>
          <w:ilvl w:val="0"/>
          <w:numId w:val="10"/>
        </w:numPr>
        <w:ind w:firstLineChars="0"/>
        <w:rPr>
          <w:rFonts w:ascii="楷体" w:hAnsi="楷体" w:eastAsia="楷体"/>
          <w:szCs w:val="21"/>
        </w:rPr>
      </w:pPr>
      <w:r>
        <w:rPr>
          <w:rFonts w:hint="eastAsia" w:ascii="楷体" w:hAnsi="楷体" w:eastAsia="楷体"/>
          <w:szCs w:val="21"/>
        </w:rPr>
        <w:t>本协议项下保密信息是指甲乙双方在履行本协议期间所获知的属于另一方的商业、营销、技术或其他资料（包括但不限于各项技术、交易信息、客户信息、个人</w:t>
      </w:r>
      <w:r>
        <w:rPr>
          <w:rFonts w:ascii="楷体" w:hAnsi="楷体" w:eastAsia="楷体"/>
          <w:szCs w:val="21"/>
        </w:rPr>
        <w:t>金融</w:t>
      </w:r>
      <w:r>
        <w:rPr>
          <w:rFonts w:hint="eastAsia" w:ascii="楷体" w:hAnsi="楷体" w:eastAsia="楷体"/>
          <w:szCs w:val="21"/>
        </w:rPr>
        <w:t>信息</w:t>
      </w:r>
      <w:r>
        <w:rPr>
          <w:rFonts w:ascii="楷体" w:hAnsi="楷体" w:eastAsia="楷体"/>
          <w:szCs w:val="21"/>
        </w:rPr>
        <w:t>、</w:t>
      </w:r>
      <w:r>
        <w:rPr>
          <w:rFonts w:hint="eastAsia" w:ascii="楷体" w:hAnsi="楷体" w:eastAsia="楷体"/>
          <w:szCs w:val="21"/>
        </w:rPr>
        <w:t>商业秘密、数据统计资料等）。</w:t>
      </w:r>
    </w:p>
    <w:p>
      <w:pPr>
        <w:pStyle w:val="12"/>
        <w:numPr>
          <w:ilvl w:val="0"/>
          <w:numId w:val="10"/>
        </w:numPr>
        <w:ind w:firstLineChars="0"/>
        <w:rPr>
          <w:rFonts w:ascii="楷体" w:hAnsi="楷体" w:eastAsia="楷体"/>
          <w:szCs w:val="21"/>
        </w:rPr>
      </w:pPr>
      <w:r>
        <w:rPr>
          <w:rFonts w:hint="eastAsia" w:ascii="楷体" w:hAnsi="楷体" w:eastAsia="楷体"/>
          <w:szCs w:val="21"/>
        </w:rPr>
        <w:t>保密信息不包括：（1)在一方传递给对方时已被公众掌握的信息或材料；（2）在一方传递给对方时已被对方通过合法途径依法掌握的信 息或材料，且当时对方并不负有任何保密义务。</w:t>
      </w:r>
    </w:p>
    <w:p>
      <w:pPr>
        <w:pStyle w:val="12"/>
        <w:numPr>
          <w:ilvl w:val="0"/>
          <w:numId w:val="10"/>
        </w:numPr>
        <w:ind w:firstLineChars="0"/>
        <w:rPr>
          <w:rFonts w:ascii="楷体" w:hAnsi="楷体" w:eastAsia="楷体"/>
          <w:szCs w:val="21"/>
        </w:rPr>
      </w:pPr>
      <w:r>
        <w:rPr>
          <w:rFonts w:hint="eastAsia" w:ascii="楷体" w:hAnsi="楷体" w:eastAsia="楷体"/>
          <w:szCs w:val="21"/>
        </w:rPr>
        <w:t>本协议</w:t>
      </w:r>
      <w:r>
        <w:rPr>
          <w:rFonts w:ascii="楷体" w:hAnsi="楷体" w:eastAsia="楷体"/>
          <w:szCs w:val="21"/>
        </w:rPr>
        <w:t>所称个人金融信息</w:t>
      </w:r>
      <w:r>
        <w:rPr>
          <w:rFonts w:hint="eastAsia" w:ascii="楷体" w:hAnsi="楷体" w:eastAsia="楷体"/>
          <w:szCs w:val="21"/>
        </w:rPr>
        <w:t>，</w:t>
      </w:r>
      <w:r>
        <w:rPr>
          <w:rFonts w:ascii="楷体" w:hAnsi="楷体" w:eastAsia="楷体"/>
          <w:szCs w:val="21"/>
        </w:rPr>
        <w:t>是指</w:t>
      </w:r>
      <w:r>
        <w:rPr>
          <w:rFonts w:hint="eastAsia" w:ascii="楷体" w:hAnsi="楷体" w:eastAsia="楷体"/>
          <w:szCs w:val="21"/>
        </w:rPr>
        <w:t>乙方</w:t>
      </w:r>
      <w:r>
        <w:rPr>
          <w:rFonts w:ascii="楷体" w:hAnsi="楷体" w:eastAsia="楷体"/>
          <w:szCs w:val="21"/>
        </w:rPr>
        <w:t>作为金融机构</w:t>
      </w:r>
      <w:r>
        <w:rPr>
          <w:rFonts w:hint="eastAsia" w:ascii="楷体" w:hAnsi="楷体" w:eastAsia="楷体"/>
          <w:szCs w:val="21"/>
        </w:rPr>
        <w:t>通过</w:t>
      </w:r>
      <w:r>
        <w:rPr>
          <w:rFonts w:ascii="楷体" w:hAnsi="楷体" w:eastAsia="楷体"/>
          <w:szCs w:val="21"/>
        </w:rPr>
        <w:t>开展业务</w:t>
      </w:r>
      <w:r>
        <w:rPr>
          <w:rFonts w:hint="eastAsia" w:ascii="楷体" w:hAnsi="楷体" w:eastAsia="楷体"/>
          <w:szCs w:val="21"/>
        </w:rPr>
        <w:t>或者</w:t>
      </w:r>
      <w:r>
        <w:rPr>
          <w:rFonts w:ascii="楷体" w:hAnsi="楷体" w:eastAsia="楷体"/>
          <w:szCs w:val="21"/>
        </w:rPr>
        <w:t>其他渠道</w:t>
      </w:r>
      <w:r>
        <w:rPr>
          <w:rFonts w:hint="eastAsia" w:ascii="楷体" w:hAnsi="楷体" w:eastAsia="楷体"/>
          <w:szCs w:val="21"/>
        </w:rPr>
        <w:t>获取、</w:t>
      </w:r>
      <w:r>
        <w:rPr>
          <w:rFonts w:ascii="楷体" w:hAnsi="楷体" w:eastAsia="楷体"/>
          <w:szCs w:val="21"/>
        </w:rPr>
        <w:t>加工</w:t>
      </w:r>
      <w:r>
        <w:rPr>
          <w:rFonts w:hint="eastAsia" w:ascii="楷体" w:hAnsi="楷体" w:eastAsia="楷体"/>
          <w:szCs w:val="21"/>
        </w:rPr>
        <w:t>和</w:t>
      </w:r>
      <w:r>
        <w:rPr>
          <w:rFonts w:ascii="楷体" w:hAnsi="楷体" w:eastAsia="楷体"/>
          <w:szCs w:val="21"/>
        </w:rPr>
        <w:t>保存的</w:t>
      </w:r>
      <w:r>
        <w:rPr>
          <w:rFonts w:hint="eastAsia" w:ascii="楷体" w:hAnsi="楷体" w:eastAsia="楷体"/>
          <w:szCs w:val="21"/>
        </w:rPr>
        <w:t>个人</w:t>
      </w:r>
      <w:r>
        <w:rPr>
          <w:rFonts w:ascii="楷体" w:hAnsi="楷体" w:eastAsia="楷体"/>
          <w:szCs w:val="21"/>
        </w:rPr>
        <w:t>信息</w:t>
      </w:r>
      <w:r>
        <w:rPr>
          <w:rFonts w:hint="eastAsia" w:ascii="楷体" w:hAnsi="楷体" w:eastAsia="楷体"/>
          <w:szCs w:val="21"/>
        </w:rPr>
        <w:t>，</w:t>
      </w:r>
      <w:r>
        <w:rPr>
          <w:rFonts w:ascii="楷体" w:hAnsi="楷体" w:eastAsia="楷体"/>
          <w:szCs w:val="21"/>
        </w:rPr>
        <w:t>包括个人身份</w:t>
      </w:r>
      <w:r>
        <w:rPr>
          <w:rFonts w:hint="eastAsia" w:ascii="楷体" w:hAnsi="楷体" w:eastAsia="楷体"/>
          <w:szCs w:val="21"/>
        </w:rPr>
        <w:t>信息</w:t>
      </w:r>
      <w:r>
        <w:rPr>
          <w:rFonts w:ascii="楷体" w:hAnsi="楷体" w:eastAsia="楷体"/>
          <w:szCs w:val="21"/>
        </w:rPr>
        <w:t>、</w:t>
      </w:r>
      <w:r>
        <w:rPr>
          <w:rFonts w:hint="eastAsia" w:ascii="楷体" w:hAnsi="楷体" w:eastAsia="楷体"/>
          <w:szCs w:val="21"/>
        </w:rPr>
        <w:t>财产信息、</w:t>
      </w:r>
      <w:r>
        <w:rPr>
          <w:rFonts w:ascii="楷体" w:hAnsi="楷体" w:eastAsia="楷体"/>
          <w:szCs w:val="21"/>
        </w:rPr>
        <w:t>信用信息、</w:t>
      </w:r>
      <w:r>
        <w:rPr>
          <w:rFonts w:hint="eastAsia" w:ascii="楷体" w:hAnsi="楷体" w:eastAsia="楷体"/>
          <w:szCs w:val="21"/>
        </w:rPr>
        <w:t>金融</w:t>
      </w:r>
      <w:r>
        <w:rPr>
          <w:rFonts w:ascii="楷体" w:hAnsi="楷体" w:eastAsia="楷体"/>
          <w:szCs w:val="21"/>
        </w:rPr>
        <w:t>交易</w:t>
      </w:r>
      <w:r>
        <w:rPr>
          <w:rFonts w:hint="eastAsia" w:ascii="楷体" w:hAnsi="楷体" w:eastAsia="楷体"/>
          <w:szCs w:val="21"/>
        </w:rPr>
        <w:t>信息</w:t>
      </w:r>
      <w:r>
        <w:rPr>
          <w:rFonts w:ascii="楷体" w:hAnsi="楷体" w:eastAsia="楷体"/>
          <w:szCs w:val="21"/>
        </w:rPr>
        <w:t>及</w:t>
      </w:r>
      <w:r>
        <w:rPr>
          <w:rFonts w:hint="eastAsia" w:ascii="楷体" w:hAnsi="楷体" w:eastAsia="楷体"/>
          <w:szCs w:val="21"/>
        </w:rPr>
        <w:t>其他反映</w:t>
      </w:r>
      <w:r>
        <w:rPr>
          <w:rFonts w:ascii="楷体" w:hAnsi="楷体" w:eastAsia="楷体"/>
          <w:szCs w:val="21"/>
        </w:rPr>
        <w:t>特定</w:t>
      </w:r>
      <w:r>
        <w:rPr>
          <w:rFonts w:hint="eastAsia" w:ascii="楷体" w:hAnsi="楷体" w:eastAsia="楷体"/>
          <w:szCs w:val="21"/>
        </w:rPr>
        <w:t>个人</w:t>
      </w:r>
      <w:r>
        <w:rPr>
          <w:rFonts w:ascii="楷体" w:hAnsi="楷体" w:eastAsia="楷体"/>
          <w:szCs w:val="21"/>
        </w:rPr>
        <w:t>某些</w:t>
      </w:r>
      <w:r>
        <w:rPr>
          <w:rFonts w:hint="eastAsia" w:ascii="楷体" w:hAnsi="楷体" w:eastAsia="楷体"/>
          <w:szCs w:val="21"/>
        </w:rPr>
        <w:t>情况</w:t>
      </w:r>
      <w:r>
        <w:rPr>
          <w:rFonts w:ascii="楷体" w:hAnsi="楷体" w:eastAsia="楷体"/>
          <w:szCs w:val="21"/>
        </w:rPr>
        <w:t>的信息。</w:t>
      </w:r>
      <w:r>
        <w:rPr>
          <w:rFonts w:hint="eastAsia" w:ascii="楷体" w:hAnsi="楷体" w:eastAsia="楷体"/>
          <w:szCs w:val="21"/>
        </w:rPr>
        <w:t>个人金融</w:t>
      </w:r>
      <w:r>
        <w:rPr>
          <w:rFonts w:ascii="楷体" w:hAnsi="楷体" w:eastAsia="楷体"/>
          <w:szCs w:val="21"/>
        </w:rPr>
        <w:t>信息</w:t>
      </w:r>
      <w:r>
        <w:rPr>
          <w:rFonts w:hint="eastAsia" w:ascii="楷体" w:hAnsi="楷体" w:eastAsia="楷体"/>
          <w:szCs w:val="21"/>
        </w:rPr>
        <w:t>包括但不限于</w:t>
      </w:r>
      <w:r>
        <w:rPr>
          <w:rFonts w:ascii="楷体" w:hAnsi="楷体" w:eastAsia="楷体"/>
          <w:szCs w:val="21"/>
        </w:rPr>
        <w:t>：</w:t>
      </w:r>
      <w:r>
        <w:rPr>
          <w:rFonts w:hint="eastAsia" w:ascii="楷体" w:hAnsi="楷体" w:eastAsia="楷体"/>
          <w:szCs w:val="21"/>
        </w:rPr>
        <w:t>客户的银行卡信息（卡号、有效期、CVV2码等）、客户银行账户信息、专属账户信息</w:t>
      </w:r>
      <w:r>
        <w:rPr>
          <w:rFonts w:ascii="楷体" w:hAnsi="楷体" w:eastAsia="楷体"/>
          <w:szCs w:val="21"/>
        </w:rPr>
        <w:t>属</w:t>
      </w:r>
      <w:r>
        <w:rPr>
          <w:rFonts w:hint="eastAsia" w:ascii="楷体" w:hAnsi="楷体" w:eastAsia="楷体"/>
          <w:szCs w:val="21"/>
        </w:rPr>
        <w:t>、交易数据信息等</w:t>
      </w:r>
      <w:r>
        <w:rPr>
          <w:rFonts w:ascii="楷体" w:hAnsi="楷体" w:eastAsia="楷体"/>
          <w:szCs w:val="21"/>
        </w:rPr>
        <w:t>，</w:t>
      </w:r>
      <w:r>
        <w:rPr>
          <w:rFonts w:hint="eastAsia" w:ascii="楷体" w:hAnsi="楷体" w:eastAsia="楷体"/>
          <w:szCs w:val="21"/>
        </w:rPr>
        <w:t>该信息</w:t>
      </w:r>
      <w:r>
        <w:rPr>
          <w:rFonts w:ascii="楷体" w:hAnsi="楷体" w:eastAsia="楷体"/>
          <w:szCs w:val="21"/>
        </w:rPr>
        <w:t>属于本协议约定的保密信息</w:t>
      </w:r>
      <w:r>
        <w:rPr>
          <w:rFonts w:hint="eastAsia" w:ascii="楷体" w:hAnsi="楷体" w:eastAsia="楷体"/>
          <w:szCs w:val="21"/>
        </w:rPr>
        <w:t>。</w:t>
      </w:r>
    </w:p>
    <w:p>
      <w:pPr>
        <w:pStyle w:val="12"/>
        <w:numPr>
          <w:ilvl w:val="0"/>
          <w:numId w:val="10"/>
        </w:numPr>
        <w:ind w:firstLineChars="0"/>
        <w:rPr>
          <w:rFonts w:ascii="楷体" w:hAnsi="楷体" w:eastAsia="楷体"/>
          <w:b/>
          <w:szCs w:val="21"/>
        </w:rPr>
      </w:pPr>
      <w:r>
        <w:rPr>
          <w:rFonts w:hint="eastAsia" w:ascii="楷体" w:hAnsi="楷体" w:eastAsia="楷体"/>
          <w:b/>
          <w:szCs w:val="21"/>
        </w:rPr>
        <w:t>甲</w:t>
      </w:r>
      <w:r>
        <w:rPr>
          <w:rFonts w:ascii="楷体" w:hAnsi="楷体" w:eastAsia="楷体"/>
          <w:b/>
          <w:szCs w:val="21"/>
        </w:rPr>
        <w:t>乙双方为开</w:t>
      </w:r>
      <w:r>
        <w:rPr>
          <w:rFonts w:hint="eastAsia" w:ascii="楷体" w:hAnsi="楷体" w:eastAsia="楷体"/>
          <w:b/>
          <w:szCs w:val="21"/>
        </w:rPr>
        <w:t>展</w:t>
      </w:r>
      <w:r>
        <w:rPr>
          <w:rFonts w:ascii="楷体" w:hAnsi="楷体" w:eastAsia="楷体"/>
          <w:b/>
          <w:szCs w:val="21"/>
        </w:rPr>
        <w:t>本协议约定之合</w:t>
      </w:r>
      <w:r>
        <w:rPr>
          <w:rFonts w:hint="eastAsia" w:ascii="楷体" w:hAnsi="楷体" w:eastAsia="楷体"/>
          <w:b/>
          <w:szCs w:val="21"/>
        </w:rPr>
        <w:t>作，</w:t>
      </w:r>
      <w:r>
        <w:rPr>
          <w:rFonts w:ascii="楷体" w:hAnsi="楷体" w:eastAsia="楷体"/>
          <w:b/>
          <w:szCs w:val="21"/>
        </w:rPr>
        <w:t>需要</w:t>
      </w:r>
      <w:r>
        <w:rPr>
          <w:rFonts w:hint="eastAsia" w:ascii="楷体" w:hAnsi="楷体" w:eastAsia="楷体"/>
          <w:b/>
          <w:szCs w:val="21"/>
        </w:rPr>
        <w:t>收集</w:t>
      </w:r>
      <w:r>
        <w:rPr>
          <w:rFonts w:ascii="楷体" w:hAnsi="楷体" w:eastAsia="楷体"/>
          <w:b/>
          <w:szCs w:val="21"/>
        </w:rPr>
        <w:t>个人信息</w:t>
      </w:r>
      <w:r>
        <w:rPr>
          <w:rFonts w:hint="eastAsia" w:ascii="楷体" w:hAnsi="楷体" w:eastAsia="楷体"/>
          <w:b/>
          <w:szCs w:val="21"/>
        </w:rPr>
        <w:t>时</w:t>
      </w:r>
      <w:r>
        <w:rPr>
          <w:rFonts w:ascii="楷体" w:hAnsi="楷体" w:eastAsia="楷体"/>
          <w:b/>
          <w:szCs w:val="21"/>
        </w:rPr>
        <w:t>，应当遵循</w:t>
      </w:r>
      <w:r>
        <w:rPr>
          <w:rFonts w:hint="eastAsia" w:ascii="楷体" w:hAnsi="楷体" w:eastAsia="楷体"/>
          <w:b/>
          <w:szCs w:val="21"/>
        </w:rPr>
        <w:t>合法</w:t>
      </w:r>
      <w:r>
        <w:rPr>
          <w:rFonts w:ascii="楷体" w:hAnsi="楷体" w:eastAsia="楷体"/>
          <w:b/>
          <w:szCs w:val="21"/>
        </w:rPr>
        <w:t>、合理、</w:t>
      </w:r>
      <w:r>
        <w:rPr>
          <w:rFonts w:hint="eastAsia" w:ascii="楷体" w:hAnsi="楷体" w:eastAsia="楷体"/>
          <w:b/>
          <w:szCs w:val="21"/>
        </w:rPr>
        <w:t>必要</w:t>
      </w:r>
      <w:r>
        <w:rPr>
          <w:rFonts w:ascii="楷体" w:hAnsi="楷体" w:eastAsia="楷体"/>
          <w:b/>
          <w:szCs w:val="21"/>
        </w:rPr>
        <w:t>原则，</w:t>
      </w:r>
      <w:r>
        <w:rPr>
          <w:rFonts w:hint="eastAsia" w:ascii="楷体" w:hAnsi="楷体" w:eastAsia="楷体"/>
          <w:b/>
          <w:szCs w:val="21"/>
        </w:rPr>
        <w:t>不得收集</w:t>
      </w:r>
      <w:r>
        <w:rPr>
          <w:rFonts w:ascii="楷体" w:hAnsi="楷体" w:eastAsia="楷体"/>
          <w:b/>
          <w:szCs w:val="21"/>
        </w:rPr>
        <w:t>与业务无</w:t>
      </w:r>
      <w:r>
        <w:rPr>
          <w:rFonts w:hint="eastAsia" w:ascii="楷体" w:hAnsi="楷体" w:eastAsia="楷体"/>
          <w:b/>
          <w:szCs w:val="21"/>
        </w:rPr>
        <w:t>关</w:t>
      </w:r>
      <w:r>
        <w:rPr>
          <w:rFonts w:ascii="楷体" w:hAnsi="楷体" w:eastAsia="楷体"/>
          <w:b/>
          <w:szCs w:val="21"/>
        </w:rPr>
        <w:t>的信息</w:t>
      </w:r>
      <w:r>
        <w:rPr>
          <w:rFonts w:hint="eastAsia" w:ascii="楷体" w:hAnsi="楷体" w:eastAsia="楷体"/>
          <w:b/>
          <w:szCs w:val="21"/>
        </w:rPr>
        <w:t>或者</w:t>
      </w:r>
      <w:r>
        <w:rPr>
          <w:rFonts w:ascii="楷体" w:hAnsi="楷体" w:eastAsia="楷体"/>
          <w:b/>
          <w:szCs w:val="21"/>
        </w:rPr>
        <w:t>采取不正当方式</w:t>
      </w:r>
      <w:r>
        <w:rPr>
          <w:rFonts w:hint="eastAsia" w:ascii="楷体" w:hAnsi="楷体" w:eastAsia="楷体"/>
          <w:b/>
          <w:szCs w:val="21"/>
        </w:rPr>
        <w:t>收集</w:t>
      </w:r>
      <w:r>
        <w:rPr>
          <w:rFonts w:ascii="楷体" w:hAnsi="楷体" w:eastAsia="楷体"/>
          <w:b/>
          <w:szCs w:val="21"/>
        </w:rPr>
        <w:t>信息，</w:t>
      </w:r>
      <w:r>
        <w:rPr>
          <w:rFonts w:hint="eastAsia" w:ascii="楷体" w:hAnsi="楷体" w:eastAsia="楷体"/>
          <w:b/>
          <w:szCs w:val="21"/>
        </w:rPr>
        <w:t>不得</w:t>
      </w:r>
      <w:r>
        <w:rPr>
          <w:rFonts w:ascii="楷体" w:hAnsi="楷体" w:eastAsia="楷体"/>
          <w:b/>
          <w:szCs w:val="21"/>
        </w:rPr>
        <w:t>非法存储个人金融信息，</w:t>
      </w:r>
      <w:r>
        <w:rPr>
          <w:rFonts w:hint="eastAsia" w:ascii="楷体" w:hAnsi="楷体" w:eastAsia="楷体"/>
          <w:b/>
          <w:szCs w:val="21"/>
        </w:rPr>
        <w:t>应</w:t>
      </w:r>
      <w:r>
        <w:rPr>
          <w:rFonts w:ascii="楷体" w:hAnsi="楷体" w:eastAsia="楷体"/>
          <w:b/>
          <w:szCs w:val="21"/>
        </w:rPr>
        <w:t>妥善保管</w:t>
      </w:r>
      <w:r>
        <w:rPr>
          <w:rFonts w:hint="eastAsia" w:ascii="楷体" w:hAnsi="楷体" w:eastAsia="楷体"/>
          <w:b/>
          <w:szCs w:val="21"/>
        </w:rPr>
        <w:t>依法收集</w:t>
      </w:r>
      <w:r>
        <w:rPr>
          <w:rFonts w:ascii="楷体" w:hAnsi="楷体" w:eastAsia="楷体"/>
          <w:b/>
          <w:szCs w:val="21"/>
        </w:rPr>
        <w:t>的个人金融信息</w:t>
      </w:r>
      <w:r>
        <w:rPr>
          <w:rFonts w:hint="eastAsia" w:ascii="楷体" w:hAnsi="楷体" w:eastAsia="楷体"/>
          <w:b/>
          <w:szCs w:val="21"/>
        </w:rPr>
        <w:t>，防止</w:t>
      </w:r>
      <w:r>
        <w:rPr>
          <w:rFonts w:ascii="楷体" w:hAnsi="楷体" w:eastAsia="楷体"/>
          <w:b/>
          <w:szCs w:val="21"/>
        </w:rPr>
        <w:t>信息</w:t>
      </w:r>
      <w:r>
        <w:rPr>
          <w:rFonts w:hint="eastAsia" w:ascii="楷体" w:hAnsi="楷体" w:eastAsia="楷体"/>
          <w:b/>
          <w:szCs w:val="21"/>
        </w:rPr>
        <w:t>遗失</w:t>
      </w:r>
      <w:r>
        <w:rPr>
          <w:rFonts w:ascii="楷体" w:hAnsi="楷体" w:eastAsia="楷体"/>
          <w:b/>
          <w:szCs w:val="21"/>
        </w:rPr>
        <w:t>、</w:t>
      </w:r>
      <w:r>
        <w:rPr>
          <w:rFonts w:hint="eastAsia" w:ascii="楷体" w:hAnsi="楷体" w:eastAsia="楷体"/>
          <w:b/>
          <w:szCs w:val="21"/>
        </w:rPr>
        <w:t>毁损</w:t>
      </w:r>
      <w:r>
        <w:rPr>
          <w:rFonts w:ascii="楷体" w:hAnsi="楷体" w:eastAsia="楷体"/>
          <w:b/>
          <w:szCs w:val="21"/>
        </w:rPr>
        <w:t>、</w:t>
      </w:r>
      <w:r>
        <w:rPr>
          <w:rFonts w:hint="eastAsia" w:ascii="楷体" w:hAnsi="楷体" w:eastAsia="楷体"/>
          <w:b/>
          <w:szCs w:val="21"/>
        </w:rPr>
        <w:t>泄露</w:t>
      </w:r>
      <w:r>
        <w:rPr>
          <w:rFonts w:ascii="楷体" w:hAnsi="楷体" w:eastAsia="楷体"/>
          <w:b/>
          <w:szCs w:val="21"/>
        </w:rPr>
        <w:t>或者篡改</w:t>
      </w:r>
      <w:r>
        <w:rPr>
          <w:rFonts w:hint="eastAsia" w:ascii="楷体" w:hAnsi="楷体" w:eastAsia="楷体"/>
          <w:b/>
          <w:szCs w:val="21"/>
        </w:rPr>
        <w:t>，</w:t>
      </w:r>
      <w:r>
        <w:rPr>
          <w:rFonts w:ascii="楷体" w:hAnsi="楷体" w:eastAsia="楷体"/>
          <w:b/>
          <w:szCs w:val="21"/>
        </w:rPr>
        <w:t>如发生该等情况的，</w:t>
      </w:r>
      <w:r>
        <w:rPr>
          <w:rFonts w:hint="eastAsia" w:ascii="楷体" w:hAnsi="楷体" w:eastAsia="楷体"/>
          <w:b/>
          <w:szCs w:val="21"/>
        </w:rPr>
        <w:t>应当</w:t>
      </w:r>
      <w:r>
        <w:rPr>
          <w:rFonts w:ascii="楷体" w:hAnsi="楷体" w:eastAsia="楷体"/>
          <w:b/>
          <w:szCs w:val="21"/>
        </w:rPr>
        <w:t>立即采取补救措施</w:t>
      </w:r>
      <w:r>
        <w:rPr>
          <w:rFonts w:hint="eastAsia" w:ascii="楷体" w:hAnsi="楷体" w:eastAsia="楷体"/>
          <w:b/>
          <w:szCs w:val="21"/>
        </w:rPr>
        <w:t>，</w:t>
      </w:r>
      <w:r>
        <w:rPr>
          <w:rFonts w:ascii="楷体" w:hAnsi="楷体" w:eastAsia="楷体"/>
          <w:b/>
          <w:szCs w:val="21"/>
        </w:rPr>
        <w:t>及时告知客户并</w:t>
      </w:r>
      <w:r>
        <w:rPr>
          <w:rFonts w:hint="eastAsia" w:ascii="楷体" w:hAnsi="楷体" w:eastAsia="楷体"/>
          <w:b/>
          <w:szCs w:val="21"/>
        </w:rPr>
        <w:t>向</w:t>
      </w:r>
      <w:r>
        <w:rPr>
          <w:rFonts w:ascii="楷体" w:hAnsi="楷体" w:eastAsia="楷体"/>
          <w:b/>
          <w:szCs w:val="21"/>
        </w:rPr>
        <w:t>有关主管部门报告。</w:t>
      </w:r>
      <w:r>
        <w:rPr>
          <w:rFonts w:hint="eastAsia" w:ascii="楷体" w:hAnsi="楷体" w:eastAsia="楷体"/>
          <w:b/>
          <w:szCs w:val="21"/>
        </w:rPr>
        <w:t>甲</w:t>
      </w:r>
      <w:r>
        <w:rPr>
          <w:rFonts w:ascii="楷体" w:hAnsi="楷体" w:eastAsia="楷体"/>
          <w:b/>
          <w:szCs w:val="21"/>
        </w:rPr>
        <w:t>乙双方的工作人员</w:t>
      </w:r>
      <w:r>
        <w:rPr>
          <w:rFonts w:hint="eastAsia" w:ascii="楷体" w:hAnsi="楷体" w:eastAsia="楷体"/>
          <w:b/>
          <w:szCs w:val="21"/>
        </w:rPr>
        <w:t>应当</w:t>
      </w:r>
      <w:r>
        <w:rPr>
          <w:rFonts w:ascii="楷体" w:hAnsi="楷体" w:eastAsia="楷体"/>
          <w:b/>
          <w:szCs w:val="21"/>
        </w:rPr>
        <w:t>对</w:t>
      </w:r>
      <w:r>
        <w:rPr>
          <w:rFonts w:hint="eastAsia" w:ascii="楷体" w:hAnsi="楷体" w:eastAsia="楷体"/>
          <w:b/>
          <w:szCs w:val="21"/>
        </w:rPr>
        <w:t>业务</w:t>
      </w:r>
      <w:r>
        <w:rPr>
          <w:rFonts w:ascii="楷体" w:hAnsi="楷体" w:eastAsia="楷体"/>
          <w:b/>
          <w:szCs w:val="21"/>
        </w:rPr>
        <w:t>过程中</w:t>
      </w:r>
      <w:r>
        <w:rPr>
          <w:rFonts w:hint="eastAsia" w:ascii="楷体" w:hAnsi="楷体" w:eastAsia="楷体"/>
          <w:b/>
          <w:szCs w:val="21"/>
        </w:rPr>
        <w:t>知悉</w:t>
      </w:r>
      <w:r>
        <w:rPr>
          <w:rFonts w:ascii="楷体" w:hAnsi="楷体" w:eastAsia="楷体"/>
          <w:b/>
          <w:szCs w:val="21"/>
        </w:rPr>
        <w:t>的</w:t>
      </w:r>
      <w:r>
        <w:rPr>
          <w:rFonts w:hint="eastAsia" w:ascii="楷体" w:hAnsi="楷体" w:eastAsia="楷体"/>
          <w:b/>
          <w:szCs w:val="21"/>
        </w:rPr>
        <w:t>个人</w:t>
      </w:r>
      <w:r>
        <w:rPr>
          <w:rFonts w:ascii="楷体" w:hAnsi="楷体" w:eastAsia="楷体"/>
          <w:b/>
          <w:szCs w:val="21"/>
        </w:rPr>
        <w:t>金融信息</w:t>
      </w:r>
      <w:r>
        <w:rPr>
          <w:rFonts w:hint="eastAsia" w:ascii="楷体" w:hAnsi="楷体" w:eastAsia="楷体"/>
          <w:b/>
          <w:szCs w:val="21"/>
        </w:rPr>
        <w:t>予以</w:t>
      </w:r>
      <w:r>
        <w:rPr>
          <w:rFonts w:ascii="楷体" w:hAnsi="楷体" w:eastAsia="楷体"/>
          <w:b/>
          <w:szCs w:val="21"/>
        </w:rPr>
        <w:t>保密</w:t>
      </w:r>
      <w:r>
        <w:rPr>
          <w:rFonts w:hint="eastAsia" w:ascii="楷体" w:hAnsi="楷体" w:eastAsia="楷体"/>
          <w:b/>
          <w:szCs w:val="21"/>
        </w:rPr>
        <w:t>，</w:t>
      </w:r>
      <w:r>
        <w:rPr>
          <w:rFonts w:ascii="楷体" w:hAnsi="楷体" w:eastAsia="楷体"/>
          <w:b/>
          <w:szCs w:val="21"/>
        </w:rPr>
        <w:t>不得非法复制</w:t>
      </w:r>
      <w:r>
        <w:rPr>
          <w:rFonts w:hint="eastAsia" w:ascii="楷体" w:hAnsi="楷体" w:eastAsia="楷体"/>
          <w:b/>
          <w:szCs w:val="21"/>
        </w:rPr>
        <w:t>、</w:t>
      </w:r>
      <w:r>
        <w:rPr>
          <w:rFonts w:ascii="楷体" w:hAnsi="楷体" w:eastAsia="楷体"/>
          <w:b/>
          <w:szCs w:val="21"/>
        </w:rPr>
        <w:t>非法</w:t>
      </w:r>
      <w:r>
        <w:rPr>
          <w:rFonts w:hint="eastAsia" w:ascii="楷体" w:hAnsi="楷体" w:eastAsia="楷体"/>
          <w:b/>
          <w:szCs w:val="21"/>
        </w:rPr>
        <w:t>存储、</w:t>
      </w:r>
      <w:r>
        <w:rPr>
          <w:rFonts w:ascii="楷体" w:hAnsi="楷体" w:eastAsia="楷体"/>
          <w:b/>
          <w:szCs w:val="21"/>
        </w:rPr>
        <w:t>非法使用</w:t>
      </w:r>
      <w:r>
        <w:rPr>
          <w:rFonts w:hint="eastAsia" w:ascii="楷体" w:hAnsi="楷体" w:eastAsia="楷体"/>
          <w:b/>
          <w:szCs w:val="21"/>
        </w:rPr>
        <w:t>、</w:t>
      </w:r>
      <w:r>
        <w:rPr>
          <w:rFonts w:ascii="楷体" w:hAnsi="楷体" w:eastAsia="楷体"/>
          <w:b/>
          <w:szCs w:val="21"/>
        </w:rPr>
        <w:t>向他</w:t>
      </w:r>
      <w:r>
        <w:rPr>
          <w:rFonts w:hint="eastAsia" w:ascii="楷体" w:hAnsi="楷体" w:eastAsia="楷体"/>
          <w:b/>
          <w:szCs w:val="21"/>
        </w:rPr>
        <w:t>人</w:t>
      </w:r>
      <w:r>
        <w:rPr>
          <w:rFonts w:ascii="楷体" w:hAnsi="楷体" w:eastAsia="楷体"/>
          <w:b/>
          <w:szCs w:val="21"/>
        </w:rPr>
        <w:t>出售</w:t>
      </w:r>
      <w:r>
        <w:rPr>
          <w:rFonts w:hint="eastAsia" w:ascii="楷体" w:hAnsi="楷体" w:eastAsia="楷体"/>
          <w:b/>
          <w:szCs w:val="21"/>
        </w:rPr>
        <w:t>或者以</w:t>
      </w:r>
      <w:r>
        <w:rPr>
          <w:rFonts w:ascii="楷体" w:hAnsi="楷体" w:eastAsia="楷体"/>
          <w:b/>
          <w:szCs w:val="21"/>
        </w:rPr>
        <w:t>其他</w:t>
      </w:r>
      <w:r>
        <w:rPr>
          <w:rFonts w:hint="eastAsia" w:ascii="楷体" w:hAnsi="楷体" w:eastAsia="楷体"/>
          <w:b/>
          <w:szCs w:val="21"/>
        </w:rPr>
        <w:t>非法</w:t>
      </w:r>
      <w:r>
        <w:rPr>
          <w:rFonts w:ascii="楷体" w:hAnsi="楷体" w:eastAsia="楷体"/>
          <w:b/>
          <w:szCs w:val="21"/>
        </w:rPr>
        <w:t>形式</w:t>
      </w:r>
      <w:r>
        <w:rPr>
          <w:rFonts w:hint="eastAsia" w:ascii="楷体" w:hAnsi="楷体" w:eastAsia="楷体"/>
          <w:b/>
          <w:szCs w:val="21"/>
        </w:rPr>
        <w:t>泄露</w:t>
      </w:r>
      <w:r>
        <w:rPr>
          <w:rFonts w:ascii="楷体" w:hAnsi="楷体" w:eastAsia="楷体"/>
          <w:b/>
          <w:szCs w:val="21"/>
        </w:rPr>
        <w:t>个人</w:t>
      </w:r>
      <w:r>
        <w:rPr>
          <w:rFonts w:hint="eastAsia" w:ascii="楷体" w:hAnsi="楷体" w:eastAsia="楷体"/>
          <w:b/>
          <w:szCs w:val="21"/>
        </w:rPr>
        <w:t>金融</w:t>
      </w:r>
      <w:r>
        <w:rPr>
          <w:rFonts w:ascii="楷体" w:hAnsi="楷体" w:eastAsia="楷体"/>
          <w:b/>
          <w:szCs w:val="21"/>
        </w:rPr>
        <w:t>信息。</w:t>
      </w:r>
    </w:p>
    <w:p>
      <w:pPr>
        <w:pStyle w:val="12"/>
        <w:numPr>
          <w:ilvl w:val="0"/>
          <w:numId w:val="10"/>
        </w:numPr>
        <w:ind w:firstLineChars="0"/>
        <w:rPr>
          <w:rFonts w:ascii="楷体" w:hAnsi="楷体" w:eastAsia="楷体"/>
          <w:szCs w:val="21"/>
        </w:rPr>
      </w:pPr>
      <w:r>
        <w:rPr>
          <w:rFonts w:hint="eastAsia" w:ascii="楷体" w:hAnsi="楷体" w:eastAsia="楷体"/>
          <w:szCs w:val="21"/>
        </w:rPr>
        <w:t>任何一方不得将上述保密信息泄露给任何第三方，亦不得不正当的利用上述保密信息。任何一方的此等保密义务于本协议终止、变更或解除后继续存续，直至非因其自身原因而导致另一方保密信息公开为止。</w:t>
      </w:r>
    </w:p>
    <w:p>
      <w:pPr>
        <w:rPr>
          <w:rFonts w:ascii="楷体" w:hAnsi="楷体" w:eastAsia="楷体"/>
          <w:b/>
          <w:szCs w:val="21"/>
        </w:rPr>
      </w:pPr>
    </w:p>
    <w:p>
      <w:pPr>
        <w:pStyle w:val="12"/>
        <w:numPr>
          <w:ilvl w:val="0"/>
          <w:numId w:val="3"/>
        </w:numPr>
        <w:ind w:firstLineChars="0"/>
        <w:rPr>
          <w:rFonts w:ascii="楷体" w:hAnsi="楷体" w:eastAsia="楷体"/>
          <w:b/>
          <w:szCs w:val="21"/>
        </w:rPr>
      </w:pPr>
      <w:r>
        <w:rPr>
          <w:rFonts w:hint="eastAsia" w:ascii="楷体" w:hAnsi="楷体" w:eastAsia="楷体"/>
          <w:b/>
          <w:szCs w:val="21"/>
        </w:rPr>
        <w:t>反商业贿赂</w:t>
      </w:r>
    </w:p>
    <w:p>
      <w:pPr>
        <w:pStyle w:val="12"/>
        <w:numPr>
          <w:ilvl w:val="0"/>
          <w:numId w:val="11"/>
        </w:numPr>
        <w:ind w:firstLineChars="0"/>
        <w:rPr>
          <w:rFonts w:ascii="楷体" w:hAnsi="楷体" w:eastAsia="楷体"/>
          <w:b/>
          <w:szCs w:val="21"/>
        </w:rPr>
      </w:pPr>
      <w:r>
        <w:rPr>
          <w:rFonts w:hint="eastAsia" w:ascii="楷体" w:hAnsi="楷体" w:eastAsia="楷体"/>
          <w:b/>
          <w:szCs w:val="21"/>
        </w:rPr>
        <w:t>商业贿赂</w:t>
      </w:r>
    </w:p>
    <w:p>
      <w:pPr>
        <w:ind w:firstLine="420" w:firstLineChars="200"/>
        <w:rPr>
          <w:rFonts w:ascii="楷体" w:hAnsi="楷体" w:eastAsia="楷体"/>
          <w:color w:val="000000" w:themeColor="text1"/>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本协议所指的商业贿赂是指甲方或甲方的工作人员以甲方或个人名义向乙方或乙方的工作人员实施的，包括但不限于以下行为：</w:t>
      </w:r>
    </w:p>
    <w:p>
      <w:pPr>
        <w:pStyle w:val="18"/>
        <w:rPr>
          <w:rFonts w:ascii="楷体_GB2312" w:eastAsia="楷体_GB2312"/>
          <w:bCs/>
          <w:szCs w:val="21"/>
        </w:rPr>
      </w:pPr>
      <w:r>
        <w:rPr>
          <w:rFonts w:hint="eastAsia" w:ascii="楷体" w:hAnsi="楷体" w:eastAsia="楷体"/>
          <w:szCs w:val="21"/>
        </w:rPr>
        <w:t>（1）</w:t>
      </w:r>
      <w:r>
        <w:rPr>
          <w:rFonts w:ascii="楷体_GB2312" w:eastAsia="楷体_GB2312"/>
          <w:bCs/>
          <w:szCs w:val="21"/>
        </w:rPr>
        <w:t>给付或收受现金的贿赂行为;</w:t>
      </w:r>
    </w:p>
    <w:p>
      <w:pPr>
        <w:pStyle w:val="18"/>
        <w:rPr>
          <w:rFonts w:ascii="楷体_GB2312" w:eastAsia="楷体_GB2312"/>
          <w:bCs/>
          <w:szCs w:val="21"/>
        </w:rPr>
      </w:pPr>
      <w:r>
        <w:rPr>
          <w:rFonts w:hint="eastAsia" w:ascii="楷体" w:hAnsi="楷体" w:eastAsia="楷体"/>
          <w:szCs w:val="21"/>
        </w:rPr>
        <w:t>（</w:t>
      </w:r>
      <w:r>
        <w:rPr>
          <w:rFonts w:ascii="楷体" w:hAnsi="楷体" w:eastAsia="楷体"/>
          <w:szCs w:val="21"/>
        </w:rPr>
        <w:t>2</w:t>
      </w:r>
      <w:r>
        <w:rPr>
          <w:rFonts w:hint="eastAsia" w:ascii="楷体" w:hAnsi="楷体" w:eastAsia="楷体"/>
          <w:szCs w:val="21"/>
        </w:rPr>
        <w:t>）</w:t>
      </w:r>
      <w:r>
        <w:rPr>
          <w:rFonts w:ascii="楷体_GB2312" w:eastAsia="楷体_GB2312"/>
          <w:bCs/>
          <w:szCs w:val="21"/>
        </w:rPr>
        <w:t>给付或收受各种各样的费用(促销费、赞助费、广告宣传费、劳务费</w:t>
      </w:r>
      <w:r>
        <w:rPr>
          <w:rFonts w:hint="eastAsia" w:ascii="楷体_GB2312" w:eastAsia="楷体_GB2312"/>
          <w:bCs/>
          <w:szCs w:val="21"/>
        </w:rPr>
        <w:t>、科研费、咨询费</w:t>
      </w:r>
      <w:r>
        <w:rPr>
          <w:rFonts w:ascii="楷体_GB2312" w:eastAsia="楷体_GB2312"/>
          <w:bCs/>
          <w:szCs w:val="21"/>
        </w:rPr>
        <w:t>等)、红包、礼金等贿赂行为;</w:t>
      </w:r>
    </w:p>
    <w:p>
      <w:pPr>
        <w:pStyle w:val="18"/>
        <w:rPr>
          <w:rFonts w:ascii="楷体_GB2312" w:eastAsia="楷体_GB2312"/>
          <w:bCs/>
          <w:szCs w:val="21"/>
        </w:rPr>
      </w:pPr>
      <w:r>
        <w:rPr>
          <w:rFonts w:hint="eastAsia" w:ascii="楷体" w:hAnsi="楷体" w:eastAsia="楷体"/>
          <w:szCs w:val="21"/>
        </w:rPr>
        <w:t>（</w:t>
      </w:r>
      <w:r>
        <w:rPr>
          <w:rFonts w:ascii="楷体" w:hAnsi="楷体" w:eastAsia="楷体"/>
          <w:szCs w:val="21"/>
        </w:rPr>
        <w:t>3</w:t>
      </w:r>
      <w:r>
        <w:rPr>
          <w:rFonts w:hint="eastAsia" w:ascii="楷体" w:hAnsi="楷体" w:eastAsia="楷体"/>
          <w:szCs w:val="21"/>
        </w:rPr>
        <w:t>）</w:t>
      </w:r>
      <w:r>
        <w:rPr>
          <w:rFonts w:ascii="楷体_GB2312" w:eastAsia="楷体_GB2312"/>
          <w:bCs/>
          <w:szCs w:val="21"/>
        </w:rPr>
        <w:t>给付或收受有价证券(包括债券、股票等)</w:t>
      </w:r>
      <w:r>
        <w:rPr>
          <w:rFonts w:hint="eastAsia" w:ascii="楷体_GB2312" w:eastAsia="楷体_GB2312"/>
          <w:bCs/>
          <w:szCs w:val="21"/>
        </w:rPr>
        <w:t>的行为；</w:t>
      </w:r>
    </w:p>
    <w:p>
      <w:pPr>
        <w:pStyle w:val="18"/>
        <w:rPr>
          <w:rFonts w:ascii="楷体_GB2312" w:eastAsia="楷体_GB2312"/>
          <w:bCs/>
          <w:szCs w:val="21"/>
        </w:rPr>
      </w:pPr>
      <w:r>
        <w:rPr>
          <w:rFonts w:hint="eastAsia" w:ascii="楷体" w:hAnsi="楷体" w:eastAsia="楷体"/>
          <w:szCs w:val="21"/>
        </w:rPr>
        <w:t>（</w:t>
      </w:r>
      <w:r>
        <w:rPr>
          <w:rFonts w:ascii="楷体" w:hAnsi="楷体" w:eastAsia="楷体"/>
          <w:szCs w:val="21"/>
        </w:rPr>
        <w:t>4</w:t>
      </w:r>
      <w:r>
        <w:rPr>
          <w:rFonts w:hint="eastAsia" w:ascii="楷体" w:hAnsi="楷体" w:eastAsia="楷体"/>
          <w:szCs w:val="21"/>
        </w:rPr>
        <w:t>）</w:t>
      </w:r>
      <w:r>
        <w:rPr>
          <w:rFonts w:ascii="楷体_GB2312" w:eastAsia="楷体_GB2312"/>
          <w:bCs/>
          <w:szCs w:val="21"/>
        </w:rPr>
        <w:t>给付或收受</w:t>
      </w:r>
      <w:r>
        <w:rPr>
          <w:rFonts w:hint="eastAsia" w:ascii="楷体_GB2312" w:eastAsia="楷体_GB2312"/>
          <w:bCs/>
          <w:szCs w:val="21"/>
        </w:rPr>
        <w:t>免费或低价的股权、期权的行为；</w:t>
      </w:r>
    </w:p>
    <w:p>
      <w:pPr>
        <w:pStyle w:val="18"/>
        <w:rPr>
          <w:rFonts w:ascii="楷体_GB2312" w:eastAsia="楷体_GB2312"/>
          <w:bCs/>
          <w:szCs w:val="21"/>
        </w:rPr>
      </w:pPr>
      <w:r>
        <w:rPr>
          <w:rFonts w:hint="eastAsia" w:ascii="楷体" w:hAnsi="楷体" w:eastAsia="楷体"/>
          <w:szCs w:val="21"/>
        </w:rPr>
        <w:t>（</w:t>
      </w:r>
      <w:r>
        <w:rPr>
          <w:rFonts w:ascii="楷体" w:hAnsi="楷体" w:eastAsia="楷体"/>
          <w:szCs w:val="21"/>
        </w:rPr>
        <w:t>5</w:t>
      </w:r>
      <w:r>
        <w:rPr>
          <w:rFonts w:hint="eastAsia" w:ascii="楷体" w:hAnsi="楷体" w:eastAsia="楷体"/>
          <w:szCs w:val="21"/>
        </w:rPr>
        <w:t>）</w:t>
      </w:r>
      <w:r>
        <w:rPr>
          <w:rFonts w:ascii="楷体_GB2312" w:eastAsia="楷体_GB2312"/>
          <w:bCs/>
          <w:szCs w:val="21"/>
        </w:rPr>
        <w:t>给付或收受实物(包括各种高档生活用品、奢侈消费品、工艺品、收藏品等</w:t>
      </w:r>
      <w:r>
        <w:rPr>
          <w:rFonts w:hint="eastAsia" w:ascii="楷体_GB2312" w:eastAsia="楷体_GB2312"/>
          <w:bCs/>
          <w:szCs w:val="21"/>
        </w:rPr>
        <w:t>，</w:t>
      </w:r>
      <w:r>
        <w:rPr>
          <w:rFonts w:ascii="楷体_GB2312" w:eastAsia="楷体_GB2312"/>
          <w:bCs/>
          <w:szCs w:val="21"/>
        </w:rPr>
        <w:t>以及房屋、车辆等大宗商品)</w:t>
      </w:r>
      <w:r>
        <w:rPr>
          <w:rFonts w:hint="eastAsia" w:ascii="楷体_GB2312" w:eastAsia="楷体_GB2312"/>
          <w:bCs/>
          <w:szCs w:val="21"/>
        </w:rPr>
        <w:t>的行为</w:t>
      </w:r>
      <w:r>
        <w:rPr>
          <w:rFonts w:ascii="楷体_GB2312" w:eastAsia="楷体_GB2312"/>
          <w:bCs/>
          <w:szCs w:val="21"/>
        </w:rPr>
        <w:t>;</w:t>
      </w:r>
    </w:p>
    <w:p>
      <w:pPr>
        <w:pStyle w:val="18"/>
        <w:rPr>
          <w:rFonts w:ascii="楷体_GB2312" w:eastAsia="楷体_GB2312"/>
          <w:bCs/>
          <w:szCs w:val="21"/>
        </w:rPr>
      </w:pPr>
      <w:r>
        <w:rPr>
          <w:rFonts w:hint="eastAsia" w:ascii="楷体" w:hAnsi="楷体" w:eastAsia="楷体"/>
          <w:szCs w:val="21"/>
        </w:rPr>
        <w:t>（</w:t>
      </w:r>
      <w:r>
        <w:rPr>
          <w:rFonts w:ascii="楷体" w:hAnsi="楷体" w:eastAsia="楷体"/>
          <w:szCs w:val="21"/>
        </w:rPr>
        <w:t>6</w:t>
      </w:r>
      <w:r>
        <w:rPr>
          <w:rFonts w:hint="eastAsia" w:ascii="楷体" w:hAnsi="楷体" w:eastAsia="楷体"/>
          <w:szCs w:val="21"/>
        </w:rPr>
        <w:t>）</w:t>
      </w:r>
      <w:r>
        <w:rPr>
          <w:rFonts w:ascii="楷体_GB2312" w:eastAsia="楷体_GB2312"/>
          <w:bCs/>
          <w:szCs w:val="21"/>
        </w:rPr>
        <w:t>以其他形态给付或收受(如</w:t>
      </w:r>
      <w:r>
        <w:rPr>
          <w:rFonts w:hint="eastAsia" w:ascii="楷体_GB2312" w:eastAsia="楷体_GB2312"/>
          <w:bCs/>
          <w:szCs w:val="21"/>
        </w:rPr>
        <w:t>借款、</w:t>
      </w:r>
      <w:r>
        <w:rPr>
          <w:rFonts w:ascii="楷体_GB2312" w:eastAsia="楷体_GB2312"/>
          <w:bCs/>
          <w:szCs w:val="21"/>
        </w:rPr>
        <w:t>减免债务、提供担保、免费娱乐、旅游、考察等财产性利益以及就学、荣誉、特殊待遇等非财产性利益)</w:t>
      </w:r>
      <w:r>
        <w:rPr>
          <w:rFonts w:hint="eastAsia" w:ascii="楷体_GB2312" w:eastAsia="楷体_GB2312"/>
          <w:bCs/>
          <w:szCs w:val="21"/>
        </w:rPr>
        <w:t>的行为</w:t>
      </w:r>
      <w:r>
        <w:rPr>
          <w:rFonts w:ascii="楷体_GB2312" w:eastAsia="楷体_GB2312"/>
          <w:bCs/>
          <w:szCs w:val="21"/>
        </w:rPr>
        <w:t>;</w:t>
      </w:r>
    </w:p>
    <w:p>
      <w:pPr>
        <w:pStyle w:val="18"/>
        <w:rPr>
          <w:rFonts w:ascii="楷体_GB2312" w:eastAsia="楷体_GB2312"/>
          <w:bCs/>
          <w:szCs w:val="21"/>
        </w:rPr>
      </w:pPr>
      <w:r>
        <w:rPr>
          <w:rFonts w:hint="eastAsia" w:ascii="楷体" w:hAnsi="楷体" w:eastAsia="楷体"/>
          <w:szCs w:val="21"/>
        </w:rPr>
        <w:t>（</w:t>
      </w:r>
      <w:r>
        <w:rPr>
          <w:rFonts w:ascii="楷体" w:hAnsi="楷体" w:eastAsia="楷体"/>
          <w:szCs w:val="21"/>
        </w:rPr>
        <w:t>7</w:t>
      </w:r>
      <w:r>
        <w:rPr>
          <w:rFonts w:hint="eastAsia" w:ascii="楷体" w:hAnsi="楷体" w:eastAsia="楷体"/>
          <w:szCs w:val="21"/>
        </w:rPr>
        <w:t>）</w:t>
      </w:r>
      <w:r>
        <w:rPr>
          <w:rFonts w:ascii="楷体_GB2312" w:eastAsia="楷体_GB2312"/>
          <w:bCs/>
          <w:szCs w:val="21"/>
        </w:rPr>
        <w:t>给予或收受回扣</w:t>
      </w:r>
      <w:r>
        <w:rPr>
          <w:rFonts w:hint="eastAsia" w:ascii="楷体_GB2312" w:eastAsia="楷体_GB2312"/>
          <w:bCs/>
          <w:szCs w:val="21"/>
        </w:rPr>
        <w:t>的行为</w:t>
      </w:r>
      <w:r>
        <w:rPr>
          <w:rFonts w:ascii="楷体_GB2312" w:eastAsia="楷体_GB2312"/>
          <w:bCs/>
          <w:szCs w:val="21"/>
        </w:rPr>
        <w:t>;</w:t>
      </w:r>
    </w:p>
    <w:p>
      <w:pPr>
        <w:pStyle w:val="18"/>
        <w:rPr>
          <w:rFonts w:ascii="楷体_GB2312" w:eastAsia="楷体_GB2312"/>
          <w:bCs/>
          <w:szCs w:val="21"/>
        </w:rPr>
      </w:pPr>
      <w:r>
        <w:rPr>
          <w:rFonts w:hint="eastAsia" w:ascii="楷体" w:hAnsi="楷体" w:eastAsia="楷体"/>
          <w:szCs w:val="21"/>
        </w:rPr>
        <w:t>（</w:t>
      </w:r>
      <w:r>
        <w:rPr>
          <w:rFonts w:ascii="楷体" w:hAnsi="楷体" w:eastAsia="楷体"/>
          <w:szCs w:val="21"/>
        </w:rPr>
        <w:t>8</w:t>
      </w:r>
      <w:r>
        <w:rPr>
          <w:rFonts w:hint="eastAsia" w:ascii="楷体" w:hAnsi="楷体" w:eastAsia="楷体"/>
          <w:szCs w:val="21"/>
        </w:rPr>
        <w:t>）</w:t>
      </w:r>
      <w:r>
        <w:rPr>
          <w:rFonts w:ascii="楷体_GB2312" w:eastAsia="楷体_GB2312"/>
          <w:bCs/>
          <w:szCs w:val="21"/>
        </w:rPr>
        <w:t>给予或收受佣金不如实入账，假借佣金之名进行商业贿赂</w:t>
      </w:r>
      <w:r>
        <w:rPr>
          <w:rFonts w:hint="eastAsia" w:ascii="楷体_GB2312" w:eastAsia="楷体_GB2312"/>
          <w:bCs/>
          <w:szCs w:val="21"/>
        </w:rPr>
        <w:t>的行为；</w:t>
      </w:r>
    </w:p>
    <w:p>
      <w:pPr>
        <w:pStyle w:val="18"/>
        <w:rPr>
          <w:rFonts w:ascii="楷体_GB2312" w:eastAsia="楷体_GB2312"/>
          <w:bCs/>
          <w:szCs w:val="21"/>
        </w:rPr>
      </w:pPr>
      <w:r>
        <w:rPr>
          <w:rFonts w:hint="eastAsia" w:ascii="楷体" w:hAnsi="楷体" w:eastAsia="楷体"/>
          <w:szCs w:val="21"/>
        </w:rPr>
        <w:t>（</w:t>
      </w:r>
      <w:r>
        <w:rPr>
          <w:rFonts w:ascii="楷体" w:hAnsi="楷体" w:eastAsia="楷体"/>
          <w:szCs w:val="21"/>
        </w:rPr>
        <w:t>9</w:t>
      </w:r>
      <w:r>
        <w:rPr>
          <w:rFonts w:hint="eastAsia" w:ascii="楷体" w:hAnsi="楷体" w:eastAsia="楷体"/>
          <w:szCs w:val="21"/>
        </w:rPr>
        <w:t>）</w:t>
      </w:r>
      <w:r>
        <w:rPr>
          <w:rFonts w:ascii="楷体_GB2312" w:eastAsia="楷体_GB2312"/>
          <w:bCs/>
          <w:szCs w:val="21"/>
        </w:rPr>
        <w:t>给付或收受</w:t>
      </w:r>
      <w:r>
        <w:rPr>
          <w:rFonts w:hint="eastAsia" w:ascii="楷体_GB2312" w:eastAsia="楷体_GB2312"/>
          <w:bCs/>
          <w:szCs w:val="21"/>
        </w:rPr>
        <w:t>对方低于市场价格水平的商品或服务的行为；</w:t>
      </w:r>
    </w:p>
    <w:p>
      <w:pPr>
        <w:pStyle w:val="18"/>
        <w:rPr>
          <w:rFonts w:ascii="楷体_GB2312" w:eastAsia="楷体_GB2312"/>
          <w:bCs/>
          <w:szCs w:val="21"/>
        </w:rPr>
      </w:pPr>
      <w:r>
        <w:rPr>
          <w:rFonts w:hint="eastAsia" w:ascii="楷体" w:hAnsi="楷体" w:eastAsia="楷体"/>
          <w:szCs w:val="21"/>
        </w:rPr>
        <w:t>（1</w:t>
      </w:r>
      <w:r>
        <w:rPr>
          <w:rFonts w:ascii="楷体" w:hAnsi="楷体" w:eastAsia="楷体"/>
          <w:szCs w:val="21"/>
        </w:rPr>
        <w:t>0</w:t>
      </w:r>
      <w:r>
        <w:rPr>
          <w:rFonts w:hint="eastAsia" w:ascii="楷体" w:hAnsi="楷体" w:eastAsia="楷体"/>
          <w:szCs w:val="21"/>
        </w:rPr>
        <w:t>）</w:t>
      </w:r>
      <w:r>
        <w:rPr>
          <w:rFonts w:hint="eastAsia" w:ascii="楷体_GB2312" w:eastAsia="楷体_GB2312"/>
          <w:bCs/>
          <w:szCs w:val="21"/>
        </w:rPr>
        <w:t>赞助对方员工本人、员工亲戚、其他中间人及其所在企业组织的任何活动的行为；</w:t>
      </w:r>
    </w:p>
    <w:p>
      <w:pPr>
        <w:pStyle w:val="18"/>
        <w:rPr>
          <w:rFonts w:ascii="楷体_GB2312" w:eastAsia="楷体_GB2312"/>
          <w:bCs/>
          <w:szCs w:val="21"/>
        </w:rPr>
      </w:pPr>
      <w:r>
        <w:rPr>
          <w:rFonts w:hint="eastAsia" w:ascii="楷体" w:hAnsi="楷体" w:eastAsia="楷体"/>
          <w:szCs w:val="21"/>
        </w:rPr>
        <w:t>（1</w:t>
      </w:r>
      <w:r>
        <w:rPr>
          <w:rFonts w:ascii="楷体" w:hAnsi="楷体" w:eastAsia="楷体"/>
          <w:szCs w:val="21"/>
        </w:rPr>
        <w:t>1</w:t>
      </w:r>
      <w:r>
        <w:rPr>
          <w:rFonts w:hint="eastAsia" w:ascii="楷体" w:hAnsi="楷体" w:eastAsia="楷体"/>
          <w:szCs w:val="21"/>
        </w:rPr>
        <w:t>）</w:t>
      </w:r>
      <w:r>
        <w:rPr>
          <w:rFonts w:hint="eastAsia" w:ascii="楷体_GB2312" w:eastAsia="楷体_GB2312"/>
          <w:bCs/>
          <w:szCs w:val="21"/>
        </w:rPr>
        <w:t>为对方学习、培训、工作、晋升、发展提供便利，承担有关费用，或为对方人员的非工作性质出差提供吃穿住行等方面便利的行为；</w:t>
      </w:r>
    </w:p>
    <w:p>
      <w:pPr>
        <w:pStyle w:val="18"/>
        <w:rPr>
          <w:rFonts w:ascii="楷体_GB2312" w:eastAsia="楷体_GB2312"/>
          <w:bCs/>
          <w:szCs w:val="21"/>
        </w:rPr>
      </w:pPr>
      <w:r>
        <w:rPr>
          <w:rFonts w:hint="eastAsia" w:ascii="楷体" w:hAnsi="楷体" w:eastAsia="楷体"/>
          <w:szCs w:val="21"/>
        </w:rPr>
        <w:t>（1</w:t>
      </w:r>
      <w:r>
        <w:rPr>
          <w:rFonts w:ascii="楷体" w:hAnsi="楷体" w:eastAsia="楷体"/>
          <w:szCs w:val="21"/>
        </w:rPr>
        <w:t>2</w:t>
      </w:r>
      <w:r>
        <w:rPr>
          <w:rFonts w:hint="eastAsia" w:ascii="楷体" w:hAnsi="楷体" w:eastAsia="楷体"/>
          <w:szCs w:val="21"/>
        </w:rPr>
        <w:t>）</w:t>
      </w:r>
      <w:r>
        <w:rPr>
          <w:rFonts w:hint="eastAsia" w:ascii="楷体_GB2312" w:eastAsia="楷体_GB2312"/>
          <w:bCs/>
          <w:szCs w:val="21"/>
        </w:rPr>
        <w:t>《中华人民共和国刑法》、《中华人民共和国反不正当竞争法》等相关法律、法规禁止的其他商业贿赂行为；</w:t>
      </w:r>
    </w:p>
    <w:p>
      <w:pPr>
        <w:pStyle w:val="18"/>
        <w:rPr>
          <w:rFonts w:ascii="楷体_GB2312" w:eastAsia="楷体_GB2312"/>
          <w:bCs/>
          <w:szCs w:val="21"/>
        </w:rPr>
      </w:pPr>
      <w:r>
        <w:rPr>
          <w:rFonts w:hint="eastAsia" w:ascii="楷体_GB2312" w:eastAsia="楷体_GB2312"/>
          <w:bCs/>
          <w:szCs w:val="21"/>
        </w:rPr>
        <w:t xml:space="preserve">但不包括以下行为：  </w:t>
      </w:r>
    </w:p>
    <w:p>
      <w:pPr>
        <w:ind w:firstLine="420" w:firstLineChars="200"/>
        <w:rPr>
          <w:rFonts w:ascii="楷体" w:hAnsi="楷体" w:eastAsia="楷体"/>
          <w:szCs w:val="21"/>
        </w:rPr>
      </w:pPr>
      <w:r>
        <w:rPr>
          <w:rFonts w:hint="eastAsia" w:ascii="楷体" w:hAnsi="楷体" w:eastAsia="楷体"/>
          <w:szCs w:val="21"/>
        </w:rPr>
        <w:t>a）基于商业礼仪、赠送的单次市场总价为</w:t>
      </w:r>
      <w:r>
        <w:rPr>
          <w:rFonts w:ascii="楷体" w:hAnsi="楷体" w:eastAsia="楷体"/>
          <w:szCs w:val="21"/>
        </w:rPr>
        <w:t>500</w:t>
      </w:r>
      <w:r>
        <w:rPr>
          <w:rFonts w:hint="eastAsia" w:ascii="楷体" w:hAnsi="楷体" w:eastAsia="楷体"/>
          <w:szCs w:val="21"/>
        </w:rPr>
        <w:t xml:space="preserve">元以下的小礼品、地方特产；   </w:t>
      </w:r>
    </w:p>
    <w:p>
      <w:pPr>
        <w:ind w:firstLine="420" w:firstLineChars="200"/>
        <w:rPr>
          <w:rFonts w:ascii="楷体" w:hAnsi="楷体" w:eastAsia="楷体"/>
          <w:szCs w:val="21"/>
        </w:rPr>
      </w:pPr>
      <w:r>
        <w:rPr>
          <w:rFonts w:hint="eastAsia" w:ascii="楷体" w:hAnsi="楷体" w:eastAsia="楷体"/>
          <w:szCs w:val="21"/>
        </w:rPr>
        <w:t>b）基于商业接待礼仪，提供工作餐（</w:t>
      </w:r>
      <w:r>
        <w:rPr>
          <w:rFonts w:ascii="楷体" w:hAnsi="楷体" w:eastAsia="楷体"/>
          <w:szCs w:val="21"/>
        </w:rPr>
        <w:t>200</w:t>
      </w:r>
      <w:r>
        <w:rPr>
          <w:rFonts w:hint="eastAsia" w:ascii="楷体" w:hAnsi="楷体" w:eastAsia="楷体"/>
          <w:szCs w:val="21"/>
        </w:rPr>
        <w:t xml:space="preserve">元以下）、普通住宿、交通等与协议履行相关的工作方便； </w:t>
      </w:r>
    </w:p>
    <w:p>
      <w:pPr>
        <w:ind w:firstLine="420" w:firstLineChars="200"/>
        <w:rPr>
          <w:rFonts w:ascii="楷体" w:hAnsi="楷体" w:eastAsia="楷体"/>
          <w:szCs w:val="21"/>
        </w:rPr>
      </w:pPr>
      <w:r>
        <w:rPr>
          <w:rFonts w:hint="eastAsia" w:ascii="楷体" w:hAnsi="楷体" w:eastAsia="楷体"/>
          <w:szCs w:val="21"/>
        </w:rPr>
        <w:t>c）经乙方法务内审部书面备案批准，乙方“经理级”以上干部及其指派人员，因业务需要而参加供应商举行的餐会，但餐会后无其他任何性质的娱乐活动。</w:t>
      </w:r>
    </w:p>
    <w:p>
      <w:pPr>
        <w:pStyle w:val="12"/>
        <w:numPr>
          <w:ilvl w:val="0"/>
          <w:numId w:val="11"/>
        </w:numPr>
        <w:ind w:firstLineChars="0"/>
        <w:rPr>
          <w:rFonts w:ascii="楷体" w:hAnsi="楷体" w:eastAsia="楷体"/>
          <w:b/>
          <w:szCs w:val="21"/>
        </w:rPr>
      </w:pPr>
      <w:r>
        <w:rPr>
          <w:rFonts w:hint="eastAsia" w:ascii="楷体" w:hAnsi="楷体" w:eastAsia="楷体"/>
          <w:b/>
          <w:szCs w:val="21"/>
        </w:rPr>
        <w:t xml:space="preserve">协助义务 </w:t>
      </w:r>
    </w:p>
    <w:p>
      <w:pPr>
        <w:pStyle w:val="18"/>
        <w:rPr>
          <w:rFonts w:ascii="楷体" w:hAnsi="楷体" w:eastAsia="楷体"/>
          <w:szCs w:val="21"/>
        </w:rPr>
      </w:pPr>
      <w:r>
        <w:rPr>
          <w:rFonts w:hint="eastAsia" w:ascii="楷体" w:hAnsi="楷体" w:eastAsia="楷体"/>
          <w:szCs w:val="21"/>
        </w:rPr>
        <w:t>（1）若乙方工作人员要求甲方或甲方工作人员以上述商业贿赂形式，给予其任何形式的不正当利益，甲方或甲方工作人员应予以拒绝并通过乙方设立的举报邮箱、举报信箱或其他书面方式告知乙方。甲方有义务向乙方提供相关证据，经乙方查实后作出处理，并承诺为甲方保密。对于甲方的协助，乙方将根据情况给予甲方更多的商业机会并对协助者本人视情况提供一定的现金奖励（为保密需要，此资金由乙方法务内审部填写领据，经董事长直接审批后支取现金，由法务内审部交给协助人或直接存入协助者私人账号）。</w:t>
      </w:r>
    </w:p>
    <w:p>
      <w:pPr>
        <w:pStyle w:val="18"/>
        <w:ind w:firstLine="422"/>
        <w:rPr>
          <w:rFonts w:ascii="楷体" w:hAnsi="楷体" w:eastAsia="楷体"/>
          <w:b/>
          <w:szCs w:val="21"/>
        </w:rPr>
      </w:pPr>
      <w:r>
        <w:rPr>
          <w:rFonts w:hint="eastAsia" w:ascii="楷体" w:hAnsi="楷体" w:eastAsia="楷体"/>
          <w:b/>
          <w:szCs w:val="21"/>
        </w:rPr>
        <w:t>（2）乙方举报邮箱地址为：</w:t>
      </w:r>
      <w:r>
        <w:rPr>
          <w:rFonts w:ascii="楷体" w:hAnsi="楷体" w:eastAsia="楷体"/>
          <w:b/>
          <w:szCs w:val="21"/>
          <w:u w:val="single"/>
        </w:rPr>
        <w:t>audit@huifu.com</w:t>
      </w:r>
      <w:r>
        <w:rPr>
          <w:rFonts w:hint="eastAsia" w:ascii="楷体" w:hAnsi="楷体" w:eastAsia="楷体"/>
          <w:b/>
          <w:szCs w:val="21"/>
        </w:rPr>
        <w:t>；</w:t>
      </w:r>
      <w:r>
        <w:rPr>
          <w:rFonts w:ascii="楷体" w:hAnsi="楷体" w:eastAsia="楷体"/>
          <w:b/>
          <w:szCs w:val="21"/>
        </w:rPr>
        <w:t>举报信箱地址为</w:t>
      </w:r>
      <w:r>
        <w:rPr>
          <w:rFonts w:hint="eastAsia" w:ascii="楷体" w:hAnsi="楷体" w:eastAsia="楷体"/>
          <w:b/>
          <w:szCs w:val="21"/>
        </w:rPr>
        <w:t>：</w:t>
      </w:r>
      <w:r>
        <w:rPr>
          <w:rFonts w:hint="eastAsia" w:ascii="楷体" w:hAnsi="楷体" w:eastAsia="楷体"/>
          <w:b/>
          <w:szCs w:val="21"/>
          <w:u w:val="single"/>
        </w:rPr>
        <w:t>上海市宜山路</w:t>
      </w:r>
      <w:r>
        <w:rPr>
          <w:rFonts w:ascii="楷体" w:hAnsi="楷体" w:eastAsia="楷体"/>
          <w:b/>
          <w:szCs w:val="21"/>
          <w:u w:val="single"/>
        </w:rPr>
        <w:t>700号普天信息产业园2期C5栋1楼网安警务室对面</w:t>
      </w:r>
      <w:r>
        <w:rPr>
          <w:rFonts w:hint="eastAsia" w:ascii="楷体" w:hAnsi="楷体" w:eastAsia="楷体"/>
          <w:b/>
          <w:szCs w:val="21"/>
        </w:rPr>
        <w:t>。</w:t>
      </w:r>
    </w:p>
    <w:p>
      <w:pPr>
        <w:pStyle w:val="12"/>
        <w:numPr>
          <w:ilvl w:val="0"/>
          <w:numId w:val="11"/>
        </w:numPr>
        <w:ind w:firstLineChars="0"/>
        <w:rPr>
          <w:rFonts w:ascii="楷体" w:hAnsi="楷体" w:eastAsia="楷体"/>
          <w:b/>
          <w:szCs w:val="21"/>
        </w:rPr>
      </w:pPr>
      <w:r>
        <w:rPr>
          <w:rFonts w:hint="eastAsia" w:ascii="楷体" w:hAnsi="楷体" w:eastAsia="楷体"/>
          <w:b/>
          <w:szCs w:val="21"/>
        </w:rPr>
        <w:t>其它</w:t>
      </w:r>
    </w:p>
    <w:p>
      <w:pPr>
        <w:pStyle w:val="18"/>
        <w:rPr>
          <w:rFonts w:ascii="楷体" w:hAnsi="楷体" w:eastAsia="楷体"/>
          <w:b/>
          <w:szCs w:val="21"/>
        </w:rPr>
      </w:pPr>
      <w:r>
        <w:rPr>
          <w:rFonts w:hint="eastAsia" w:ascii="楷体" w:hAnsi="楷体" w:eastAsia="楷体"/>
          <w:szCs w:val="21"/>
        </w:rPr>
        <w:t>（1）本条款适用于甲乙双方的任何商业合作项目。</w:t>
      </w:r>
    </w:p>
    <w:p>
      <w:pPr>
        <w:pStyle w:val="18"/>
        <w:rPr>
          <w:rFonts w:ascii="楷体" w:hAnsi="楷体" w:eastAsia="楷体"/>
          <w:szCs w:val="21"/>
        </w:rPr>
      </w:pPr>
      <w:r>
        <w:rPr>
          <w:rFonts w:hint="eastAsia" w:ascii="楷体" w:hAnsi="楷体" w:eastAsia="楷体"/>
          <w:szCs w:val="21"/>
        </w:rPr>
        <w:t>（</w:t>
      </w:r>
      <w:r>
        <w:rPr>
          <w:rFonts w:ascii="楷体" w:hAnsi="楷体" w:eastAsia="楷体"/>
          <w:szCs w:val="21"/>
        </w:rPr>
        <w:t>2</w:t>
      </w:r>
      <w:r>
        <w:rPr>
          <w:rFonts w:hint="eastAsia" w:ascii="楷体" w:hAnsi="楷体" w:eastAsia="楷体"/>
          <w:szCs w:val="21"/>
        </w:rPr>
        <w:t>）本条款自甲乙签署本协议之日起生效，至甲乙双方的任何商业项目合作协议终止之日起失效，如有多个商业项目合作协议，以最后终止的为准。</w:t>
      </w:r>
    </w:p>
    <w:p>
      <w:pPr>
        <w:rPr>
          <w:rFonts w:ascii="楷体" w:hAnsi="楷体" w:eastAsia="楷体"/>
          <w:b/>
          <w:szCs w:val="21"/>
        </w:rPr>
      </w:pPr>
    </w:p>
    <w:p>
      <w:pPr>
        <w:pStyle w:val="12"/>
        <w:numPr>
          <w:ilvl w:val="0"/>
          <w:numId w:val="3"/>
        </w:numPr>
        <w:ind w:firstLineChars="0"/>
        <w:rPr>
          <w:rFonts w:ascii="楷体" w:hAnsi="楷体" w:eastAsia="楷体"/>
          <w:b/>
          <w:szCs w:val="21"/>
        </w:rPr>
      </w:pPr>
      <w:r>
        <w:rPr>
          <w:rFonts w:hint="eastAsia" w:ascii="楷体" w:hAnsi="楷体" w:eastAsia="楷体"/>
          <w:b/>
          <w:szCs w:val="21"/>
        </w:rPr>
        <w:t>协议终止</w:t>
      </w:r>
      <w:r>
        <w:rPr>
          <w:rFonts w:ascii="楷体" w:hAnsi="楷体" w:eastAsia="楷体"/>
          <w:b/>
          <w:szCs w:val="21"/>
        </w:rPr>
        <w:t>和解除</w:t>
      </w:r>
    </w:p>
    <w:p>
      <w:pPr>
        <w:pStyle w:val="12"/>
        <w:numPr>
          <w:ilvl w:val="0"/>
          <w:numId w:val="12"/>
        </w:numPr>
        <w:ind w:firstLineChars="0"/>
        <w:rPr>
          <w:rFonts w:ascii="楷体" w:hAnsi="楷体" w:eastAsia="楷体"/>
          <w:szCs w:val="21"/>
        </w:rPr>
      </w:pPr>
      <w:r>
        <w:rPr>
          <w:rFonts w:hint="eastAsia" w:ascii="楷体" w:hAnsi="楷体" w:eastAsia="楷体"/>
          <w:szCs w:val="21"/>
        </w:rPr>
        <w:t>除</w:t>
      </w:r>
      <w:r>
        <w:rPr>
          <w:rFonts w:ascii="楷体" w:hAnsi="楷体" w:eastAsia="楷体"/>
          <w:szCs w:val="21"/>
        </w:rPr>
        <w:t>本协议另有约定外，</w:t>
      </w:r>
      <w:r>
        <w:rPr>
          <w:rFonts w:hint="eastAsia" w:ascii="楷体" w:hAnsi="楷体" w:eastAsia="楷体"/>
          <w:szCs w:val="21"/>
        </w:rPr>
        <w:t>在本协议有效期内，甲乙双方通过友好协商，可签署书面协议解除本协议。</w:t>
      </w:r>
    </w:p>
    <w:p>
      <w:pPr>
        <w:pStyle w:val="12"/>
        <w:numPr>
          <w:ilvl w:val="0"/>
          <w:numId w:val="12"/>
        </w:numPr>
        <w:ind w:firstLineChars="0"/>
        <w:rPr>
          <w:rFonts w:ascii="楷体" w:hAnsi="楷体" w:eastAsia="楷体"/>
          <w:szCs w:val="21"/>
        </w:rPr>
      </w:pPr>
      <w:r>
        <w:rPr>
          <w:rFonts w:hint="eastAsia" w:ascii="楷体" w:hAnsi="楷体" w:eastAsia="楷体"/>
          <w:szCs w:val="21"/>
        </w:rPr>
        <w:t>双方于本协议终止后停止进行新的业务，但并不因此停止对于已经发生的业务的合作，也不导致对已经发生之业务的后续监管要求的配合，例如调单、</w:t>
      </w:r>
      <w:r>
        <w:rPr>
          <w:rFonts w:ascii="楷体" w:hAnsi="楷体" w:eastAsia="楷体"/>
          <w:szCs w:val="21"/>
        </w:rPr>
        <w:t>拒付</w:t>
      </w:r>
      <w:r>
        <w:rPr>
          <w:rFonts w:hint="eastAsia" w:ascii="楷体" w:hAnsi="楷体" w:eastAsia="楷体"/>
          <w:szCs w:val="21"/>
        </w:rPr>
        <w:t>等发生</w:t>
      </w:r>
      <w:r>
        <w:rPr>
          <w:rFonts w:ascii="楷体" w:hAnsi="楷体" w:eastAsia="楷体"/>
          <w:szCs w:val="21"/>
        </w:rPr>
        <w:t>在</w:t>
      </w:r>
      <w:r>
        <w:rPr>
          <w:rFonts w:hint="eastAsia" w:ascii="楷体" w:hAnsi="楷体" w:eastAsia="楷体"/>
          <w:szCs w:val="21"/>
        </w:rPr>
        <w:t>协议</w:t>
      </w:r>
      <w:r>
        <w:rPr>
          <w:rFonts w:ascii="楷体" w:hAnsi="楷体" w:eastAsia="楷体"/>
          <w:szCs w:val="21"/>
        </w:rPr>
        <w:t>有效期间的业务中的异常交易</w:t>
      </w:r>
      <w:r>
        <w:rPr>
          <w:rFonts w:hint="eastAsia" w:ascii="楷体" w:hAnsi="楷体" w:eastAsia="楷体"/>
          <w:szCs w:val="21"/>
        </w:rPr>
        <w:t>，</w:t>
      </w:r>
      <w:r>
        <w:rPr>
          <w:rFonts w:ascii="楷体" w:hAnsi="楷体" w:eastAsia="楷体"/>
          <w:szCs w:val="21"/>
        </w:rPr>
        <w:t>相关义务的履行</w:t>
      </w:r>
      <w:r>
        <w:rPr>
          <w:rFonts w:hint="eastAsia" w:ascii="楷体" w:hAnsi="楷体" w:eastAsia="楷体"/>
          <w:szCs w:val="21"/>
        </w:rPr>
        <w:t>。双方对于本协议终止日前发生的综合支付服务，仍然按照本协议约定的义务内容执行。</w:t>
      </w:r>
    </w:p>
    <w:p>
      <w:pPr>
        <w:pStyle w:val="12"/>
        <w:numPr>
          <w:ilvl w:val="0"/>
          <w:numId w:val="12"/>
        </w:numPr>
        <w:ind w:firstLineChars="0"/>
        <w:rPr>
          <w:rFonts w:ascii="楷体" w:hAnsi="楷体" w:eastAsia="楷体"/>
          <w:szCs w:val="21"/>
        </w:rPr>
      </w:pPr>
      <w:r>
        <w:rPr>
          <w:rFonts w:hint="eastAsia" w:ascii="楷体" w:hAnsi="楷体" w:eastAsia="楷体"/>
          <w:szCs w:val="21"/>
        </w:rPr>
        <w:t>甲方违反国家法律、法规、金融监管规定的或本协议下合作模式后继立法、监管规定影响无法继续开展的，乙方有权终止协议且不视为违约。</w:t>
      </w:r>
    </w:p>
    <w:p>
      <w:pPr>
        <w:rPr>
          <w:rFonts w:ascii="楷体" w:hAnsi="楷体" w:eastAsia="楷体"/>
          <w:szCs w:val="21"/>
        </w:rPr>
      </w:pPr>
    </w:p>
    <w:p>
      <w:pPr>
        <w:pStyle w:val="12"/>
        <w:numPr>
          <w:ilvl w:val="0"/>
          <w:numId w:val="3"/>
        </w:numPr>
        <w:ind w:firstLineChars="0"/>
        <w:rPr>
          <w:rFonts w:ascii="楷体" w:hAnsi="楷体" w:eastAsia="楷体"/>
          <w:b/>
          <w:szCs w:val="21"/>
        </w:rPr>
      </w:pPr>
      <w:r>
        <w:rPr>
          <w:rFonts w:hint="eastAsia" w:ascii="楷体" w:hAnsi="楷体" w:eastAsia="楷体"/>
          <w:b/>
          <w:szCs w:val="21"/>
        </w:rPr>
        <w:t>违约</w:t>
      </w:r>
      <w:r>
        <w:rPr>
          <w:rFonts w:ascii="楷体" w:hAnsi="楷体" w:eastAsia="楷体"/>
          <w:b/>
          <w:szCs w:val="21"/>
        </w:rPr>
        <w:t>责任</w:t>
      </w:r>
    </w:p>
    <w:p>
      <w:pPr>
        <w:pStyle w:val="12"/>
        <w:numPr>
          <w:ilvl w:val="0"/>
          <w:numId w:val="13"/>
        </w:numPr>
        <w:ind w:firstLineChars="0"/>
        <w:rPr>
          <w:rFonts w:ascii="楷体" w:hAnsi="楷体" w:eastAsia="楷体"/>
          <w:szCs w:val="21"/>
        </w:rPr>
      </w:pPr>
      <w:r>
        <w:rPr>
          <w:rFonts w:hint="eastAsia" w:ascii="楷体" w:hAnsi="楷体" w:eastAsia="楷体"/>
          <w:szCs w:val="21"/>
        </w:rPr>
        <w:t>甲乙双方中的任何一方违反在本协议中所做的保证、承诺或其他条款，均构成违约，因违约而给他方造成损失的，违约方应承担赔偿责任。</w:t>
      </w:r>
    </w:p>
    <w:p>
      <w:pPr>
        <w:pStyle w:val="12"/>
        <w:numPr>
          <w:ilvl w:val="0"/>
          <w:numId w:val="13"/>
        </w:numPr>
        <w:ind w:firstLineChars="0"/>
        <w:rPr>
          <w:rFonts w:ascii="楷体" w:hAnsi="楷体" w:eastAsia="楷体"/>
          <w:szCs w:val="21"/>
        </w:rPr>
      </w:pPr>
      <w:r>
        <w:rPr>
          <w:rFonts w:hint="eastAsia" w:ascii="楷体" w:hAnsi="楷体" w:eastAsia="楷体"/>
          <w:szCs w:val="21"/>
        </w:rPr>
        <w:t>一方违约后，任何一方均应当采取适当措施防止损失的扩大，没有采取适当措施致使损失扩大的一方不得就扩大的损失要求赔偿。</w:t>
      </w:r>
    </w:p>
    <w:p>
      <w:pPr>
        <w:pStyle w:val="12"/>
        <w:numPr>
          <w:ilvl w:val="0"/>
          <w:numId w:val="13"/>
        </w:numPr>
        <w:ind w:firstLineChars="0"/>
        <w:rPr>
          <w:rFonts w:ascii="楷体" w:hAnsi="楷体" w:eastAsia="楷体"/>
          <w:szCs w:val="21"/>
        </w:rPr>
      </w:pPr>
      <w:r>
        <w:rPr>
          <w:rFonts w:hint="eastAsia" w:ascii="楷体" w:hAnsi="楷体" w:eastAsia="楷体"/>
          <w:szCs w:val="21"/>
        </w:rPr>
        <w:t>若甲方违反反商业贿赂条款约定，乙方将采取包括但不限于以下措施：</w:t>
      </w:r>
    </w:p>
    <w:p>
      <w:pPr>
        <w:adjustRightInd w:val="0"/>
        <w:snapToGrid w:val="0"/>
        <w:ind w:firstLine="420" w:firstLineChars="200"/>
        <w:rPr>
          <w:rFonts w:ascii="楷体_GB2312" w:hAnsi="Times New Roman" w:eastAsia="楷体_GB2312" w:cs="Times New Roman"/>
          <w:szCs w:val="21"/>
        </w:rPr>
      </w:pPr>
      <w:r>
        <w:rPr>
          <w:rFonts w:hint="eastAsia" w:ascii="楷体_GB2312" w:hAnsi="Times New Roman" w:eastAsia="楷体_GB2312" w:cs="Times New Roman"/>
          <w:szCs w:val="21"/>
        </w:rPr>
        <w:t>（1）乙方有权停止与甲方的一切合作且不被视为是违约行为，乙方有权对甲方采取诸如冻结所有应付账款的措施，并扣留协议总价款的30%但不低于人民币1万元的金额作为甲方的违约金（已经预付或款项不足的，可以向甲方追索），或向法院诉请甲方赔偿乙方的一切名誉及商业损失。</w:t>
      </w:r>
    </w:p>
    <w:p>
      <w:pPr>
        <w:adjustRightInd w:val="0"/>
        <w:snapToGrid w:val="0"/>
        <w:ind w:firstLine="420" w:firstLineChars="200"/>
        <w:rPr>
          <w:rFonts w:ascii="楷体_GB2312" w:hAnsi="Times New Roman" w:eastAsia="楷体_GB2312" w:cs="Times New Roman"/>
          <w:szCs w:val="21"/>
        </w:rPr>
      </w:pPr>
      <w:r>
        <w:rPr>
          <w:rFonts w:hint="eastAsia" w:ascii="楷体_GB2312" w:hAnsi="Times New Roman" w:eastAsia="楷体_GB2312" w:cs="Times New Roman"/>
          <w:szCs w:val="21"/>
        </w:rPr>
        <w:t>（2）乙方法务内审部将在乙方内部公布此等违约方名录，在不少于</w:t>
      </w:r>
      <w:r>
        <w:rPr>
          <w:rFonts w:ascii="楷体_GB2312" w:hAnsi="Times New Roman" w:eastAsia="楷体_GB2312" w:cs="Times New Roman"/>
          <w:szCs w:val="21"/>
        </w:rPr>
        <w:t>5</w:t>
      </w:r>
      <w:r>
        <w:rPr>
          <w:rFonts w:hint="eastAsia" w:ascii="楷体_GB2312" w:hAnsi="Times New Roman" w:eastAsia="楷体_GB2312" w:cs="Times New Roman"/>
          <w:szCs w:val="21"/>
        </w:rPr>
        <w:t>年的时间内，名录中的单位将不再允许与乙方及其关联公司进行任何形式的业务合作。</w:t>
      </w:r>
    </w:p>
    <w:p>
      <w:pPr>
        <w:rPr>
          <w:rFonts w:ascii="楷体" w:hAnsi="楷体" w:eastAsia="楷体"/>
          <w:szCs w:val="21"/>
        </w:rPr>
      </w:pPr>
    </w:p>
    <w:p>
      <w:pPr>
        <w:pStyle w:val="12"/>
        <w:numPr>
          <w:ilvl w:val="0"/>
          <w:numId w:val="3"/>
        </w:numPr>
        <w:ind w:firstLineChars="0"/>
        <w:rPr>
          <w:rFonts w:ascii="楷体" w:hAnsi="楷体" w:eastAsia="楷体"/>
          <w:b/>
          <w:szCs w:val="21"/>
        </w:rPr>
      </w:pPr>
      <w:r>
        <w:rPr>
          <w:rFonts w:hint="eastAsia" w:ascii="楷体" w:hAnsi="楷体" w:eastAsia="楷体"/>
          <w:b/>
          <w:szCs w:val="21"/>
        </w:rPr>
        <w:t>免责条款</w:t>
      </w:r>
      <w:r>
        <w:rPr>
          <w:rFonts w:ascii="楷体" w:hAnsi="楷体" w:eastAsia="楷体"/>
          <w:b/>
          <w:szCs w:val="21"/>
        </w:rPr>
        <w:t>及</w:t>
      </w:r>
      <w:r>
        <w:rPr>
          <w:rFonts w:hint="eastAsia" w:ascii="楷体" w:hAnsi="楷体" w:eastAsia="楷体"/>
          <w:b/>
          <w:szCs w:val="21"/>
        </w:rPr>
        <w:t>后继立法</w:t>
      </w:r>
    </w:p>
    <w:p>
      <w:pPr>
        <w:pStyle w:val="12"/>
        <w:numPr>
          <w:ilvl w:val="0"/>
          <w:numId w:val="14"/>
        </w:numPr>
        <w:ind w:firstLineChars="0"/>
        <w:rPr>
          <w:rFonts w:ascii="楷体" w:hAnsi="楷体" w:eastAsia="楷体"/>
          <w:szCs w:val="21"/>
        </w:rPr>
      </w:pPr>
      <w:r>
        <w:rPr>
          <w:rFonts w:hint="eastAsia" w:ascii="楷体" w:hAnsi="楷体" w:eastAsia="楷体"/>
          <w:szCs w:val="21"/>
        </w:rPr>
        <w:t>任何一方或双方由于战争及自然灾害、政府行为等不可抗力因素，或法律法规变更、</w:t>
      </w:r>
      <w:r>
        <w:rPr>
          <w:rFonts w:ascii="楷体" w:hAnsi="楷体" w:eastAsia="楷体"/>
          <w:szCs w:val="21"/>
        </w:rPr>
        <w:t>银行、电信运营商系统故障、调整升级，或电力中断，或现有技术能力无法防御的黑客攻击、技术故障等原因造成</w:t>
      </w:r>
      <w:r>
        <w:rPr>
          <w:rFonts w:hint="eastAsia" w:ascii="楷体" w:hAnsi="楷体" w:eastAsia="楷体"/>
          <w:szCs w:val="21"/>
        </w:rPr>
        <w:t>乙方</w:t>
      </w:r>
      <w:r>
        <w:rPr>
          <w:rFonts w:ascii="楷体" w:hAnsi="楷体" w:eastAsia="楷体"/>
          <w:szCs w:val="21"/>
        </w:rPr>
        <w:t>支付服务系统无法正常运作</w:t>
      </w:r>
      <w:r>
        <w:rPr>
          <w:rFonts w:hint="eastAsia" w:ascii="楷体" w:hAnsi="楷体" w:eastAsia="楷体"/>
          <w:szCs w:val="21"/>
        </w:rPr>
        <w:t>和其他不能预见、不可避免及不能克服的事件导致无法如约履行本协议的，受事件影响的一方或双方可以免除违约责任。</w:t>
      </w:r>
    </w:p>
    <w:p>
      <w:pPr>
        <w:pStyle w:val="12"/>
        <w:numPr>
          <w:ilvl w:val="0"/>
          <w:numId w:val="14"/>
        </w:numPr>
        <w:ind w:firstLineChars="0"/>
        <w:rPr>
          <w:rFonts w:ascii="楷体" w:hAnsi="楷体" w:eastAsia="楷体"/>
          <w:szCs w:val="21"/>
        </w:rPr>
      </w:pPr>
      <w:r>
        <w:rPr>
          <w:rFonts w:hint="eastAsia" w:ascii="楷体" w:hAnsi="楷体" w:eastAsia="楷体"/>
          <w:szCs w:val="21"/>
        </w:rPr>
        <w:t>因国家后继立法或法律规定变更与本协议不一致时，双方可根据国家后继立法或法律规定对本协议进行修改或补充。</w:t>
      </w:r>
    </w:p>
    <w:p>
      <w:pPr>
        <w:rPr>
          <w:rFonts w:ascii="楷体" w:hAnsi="楷体" w:eastAsia="楷体"/>
          <w:szCs w:val="21"/>
        </w:rPr>
      </w:pPr>
    </w:p>
    <w:p>
      <w:pPr>
        <w:pStyle w:val="12"/>
        <w:numPr>
          <w:ilvl w:val="0"/>
          <w:numId w:val="3"/>
        </w:numPr>
        <w:ind w:firstLineChars="0"/>
        <w:rPr>
          <w:rFonts w:ascii="楷体" w:hAnsi="楷体" w:eastAsia="楷体"/>
          <w:b/>
          <w:szCs w:val="21"/>
        </w:rPr>
      </w:pPr>
      <w:r>
        <w:rPr>
          <w:rFonts w:hint="eastAsia" w:ascii="楷体" w:hAnsi="楷体" w:eastAsia="楷体"/>
          <w:b/>
          <w:szCs w:val="21"/>
        </w:rPr>
        <w:t>适用</w:t>
      </w:r>
      <w:r>
        <w:rPr>
          <w:rFonts w:ascii="楷体" w:hAnsi="楷体" w:eastAsia="楷体"/>
          <w:b/>
          <w:szCs w:val="21"/>
        </w:rPr>
        <w:t>法律及争议解决</w:t>
      </w:r>
    </w:p>
    <w:p>
      <w:pPr>
        <w:pStyle w:val="12"/>
        <w:numPr>
          <w:ilvl w:val="0"/>
          <w:numId w:val="15"/>
        </w:numPr>
        <w:ind w:firstLineChars="0"/>
        <w:rPr>
          <w:rFonts w:ascii="楷体" w:hAnsi="楷体" w:eastAsia="楷体"/>
          <w:szCs w:val="21"/>
        </w:rPr>
      </w:pPr>
      <w:r>
        <w:rPr>
          <w:rFonts w:hint="eastAsia" w:ascii="楷体" w:hAnsi="楷体" w:eastAsia="楷体"/>
          <w:szCs w:val="21"/>
        </w:rPr>
        <w:t>本协议的解释、适用、争议解决等一切事宜，均适用中华人民共和国法律（香港特别行政区、澳门特别行政区和台湾地区的法律除外），冲突法规则除外。</w:t>
      </w:r>
    </w:p>
    <w:p>
      <w:pPr>
        <w:pStyle w:val="12"/>
        <w:numPr>
          <w:ilvl w:val="0"/>
          <w:numId w:val="15"/>
        </w:numPr>
        <w:ind w:firstLineChars="0"/>
        <w:rPr>
          <w:rFonts w:ascii="楷体" w:hAnsi="楷体" w:eastAsia="楷体"/>
          <w:szCs w:val="21"/>
        </w:rPr>
      </w:pPr>
      <w:r>
        <w:rPr>
          <w:rFonts w:hint="eastAsia" w:ascii="楷体" w:hAnsi="楷体" w:eastAsia="楷体"/>
          <w:szCs w:val="21"/>
        </w:rPr>
        <w:t>因本协议产生任何纠纷时，各方应友好协商，协商不成的，各方应将争议提交乙方住所地有管辖权的人民法院诉讼解决。</w:t>
      </w:r>
    </w:p>
    <w:p>
      <w:pPr>
        <w:rPr>
          <w:rFonts w:ascii="楷体" w:hAnsi="楷体" w:eastAsia="楷体"/>
          <w:szCs w:val="21"/>
        </w:rPr>
      </w:pPr>
    </w:p>
    <w:p>
      <w:pPr>
        <w:pStyle w:val="12"/>
        <w:numPr>
          <w:ilvl w:val="0"/>
          <w:numId w:val="3"/>
        </w:numPr>
        <w:ind w:firstLineChars="0"/>
        <w:rPr>
          <w:rFonts w:ascii="楷体" w:hAnsi="楷体" w:eastAsia="楷体"/>
          <w:b/>
          <w:szCs w:val="21"/>
        </w:rPr>
      </w:pPr>
      <w:r>
        <w:rPr>
          <w:rFonts w:ascii="楷体" w:hAnsi="楷体" w:eastAsia="楷体"/>
          <w:b/>
          <w:szCs w:val="21"/>
        </w:rPr>
        <w:t>其他</w:t>
      </w:r>
      <w:r>
        <w:rPr>
          <w:rFonts w:hint="eastAsia" w:ascii="楷体" w:hAnsi="楷体" w:eastAsia="楷体"/>
          <w:b/>
          <w:szCs w:val="21"/>
        </w:rPr>
        <w:t>条款</w:t>
      </w:r>
    </w:p>
    <w:p>
      <w:pPr>
        <w:pStyle w:val="12"/>
        <w:numPr>
          <w:ilvl w:val="0"/>
          <w:numId w:val="16"/>
        </w:numPr>
        <w:ind w:firstLineChars="0"/>
        <w:rPr>
          <w:rFonts w:ascii="楷体" w:hAnsi="楷体" w:eastAsia="楷体"/>
          <w:szCs w:val="21"/>
        </w:rPr>
      </w:pPr>
      <w:r>
        <w:rPr>
          <w:rFonts w:hint="eastAsia" w:ascii="楷体" w:hAnsi="楷体" w:eastAsia="楷体"/>
          <w:szCs w:val="21"/>
        </w:rPr>
        <w:t>附件是本协议的组成部分，与本协议具有同等法律效力。</w:t>
      </w:r>
    </w:p>
    <w:p>
      <w:pPr>
        <w:pStyle w:val="12"/>
        <w:numPr>
          <w:ilvl w:val="0"/>
          <w:numId w:val="16"/>
        </w:numPr>
        <w:ind w:firstLineChars="0"/>
        <w:rPr>
          <w:rFonts w:ascii="楷体" w:hAnsi="楷体" w:eastAsia="楷体"/>
          <w:szCs w:val="21"/>
        </w:rPr>
      </w:pPr>
      <w:r>
        <w:rPr>
          <w:rFonts w:hint="eastAsia" w:ascii="楷体" w:hAnsi="楷体" w:eastAsia="楷体"/>
          <w:szCs w:val="21"/>
        </w:rPr>
        <w:t>按照本协议须向一方送达的任何文件或通知，应按照本协议首页所约定的办公地址发送。如以邮件（包括但不限于挂号邮件方式）方式发送该等文件或通告，则于寄出后第五个工作日被视为已送达收件人。如以快递的方式发送该等文件或通告，且收发方在同一城市的，则于投送快递第二个工作日被视为已送达收件人，但收发方在不同国家或不同城市，则于投送快递后第五个工作日将被视为已送达收件人；如以传真的方式发送该等文件或通告，则发送传真的当日被视为已送达收件人。</w:t>
      </w:r>
    </w:p>
    <w:p>
      <w:pPr>
        <w:pStyle w:val="12"/>
        <w:numPr>
          <w:ilvl w:val="0"/>
          <w:numId w:val="16"/>
        </w:numPr>
        <w:ind w:firstLineChars="0"/>
        <w:rPr>
          <w:rFonts w:ascii="楷体" w:hAnsi="楷体" w:eastAsia="楷体"/>
          <w:szCs w:val="21"/>
        </w:rPr>
      </w:pPr>
      <w:r>
        <w:rPr>
          <w:rFonts w:hint="eastAsia" w:ascii="楷体" w:hAnsi="楷体" w:eastAsia="楷体"/>
          <w:szCs w:val="21"/>
        </w:rPr>
        <w:t>如双方于本协议生效前签订过任何同类协议的，自本协议生效之日起，以往签订的同类协议终止。如本协议的约定与双方以往签署的任何同类协议相冲突或相覆盖的，以本协议为准。</w:t>
      </w:r>
    </w:p>
    <w:p>
      <w:pPr>
        <w:pStyle w:val="12"/>
        <w:numPr>
          <w:ilvl w:val="0"/>
          <w:numId w:val="16"/>
        </w:numPr>
        <w:ind w:firstLineChars="0"/>
        <w:rPr>
          <w:rFonts w:ascii="楷体" w:hAnsi="楷体" w:eastAsia="楷体"/>
          <w:szCs w:val="21"/>
        </w:rPr>
      </w:pPr>
      <w:r>
        <w:rPr>
          <w:rFonts w:hint="eastAsia" w:ascii="楷体" w:hAnsi="楷体" w:eastAsia="楷体"/>
          <w:szCs w:val="21"/>
        </w:rPr>
        <w:t>本协议壹式贰份，甲乙双方各执壹份，每份具有同等法律效力。</w:t>
      </w:r>
    </w:p>
    <w:p>
      <w:pPr>
        <w:rPr>
          <w:rFonts w:ascii="楷体" w:hAnsi="楷体" w:eastAsia="楷体"/>
          <w:szCs w:val="21"/>
        </w:rPr>
      </w:pPr>
    </w:p>
    <w:p>
      <w:pPr>
        <w:pStyle w:val="12"/>
        <w:numPr>
          <w:ilvl w:val="0"/>
          <w:numId w:val="1"/>
        </w:numPr>
        <w:ind w:firstLineChars="0"/>
        <w:jc w:val="center"/>
        <w:rPr>
          <w:rFonts w:ascii="楷体" w:hAnsi="楷体" w:eastAsia="楷体"/>
          <w:b/>
          <w:bCs/>
          <w:szCs w:val="21"/>
        </w:rPr>
      </w:pPr>
      <w:r>
        <w:rPr>
          <w:rFonts w:hint="eastAsia" w:ascii="楷体" w:hAnsi="楷体" w:eastAsia="楷体"/>
          <w:b/>
          <w:bCs/>
          <w:szCs w:val="21"/>
        </w:rPr>
        <w:t>产品细则</w:t>
      </w:r>
    </w:p>
    <w:p>
      <w:pPr>
        <w:pStyle w:val="12"/>
        <w:numPr>
          <w:ilvl w:val="0"/>
          <w:numId w:val="17"/>
        </w:numPr>
        <w:ind w:firstLineChars="0"/>
        <w:rPr>
          <w:rFonts w:ascii="楷体" w:hAnsi="楷体" w:eastAsia="楷体"/>
          <w:b/>
          <w:szCs w:val="21"/>
        </w:rPr>
      </w:pPr>
      <w:r>
        <w:rPr>
          <w:rFonts w:hint="eastAsia" w:ascii="楷体" w:hAnsi="楷体" w:eastAsia="楷体"/>
          <w:b/>
          <w:szCs w:val="21"/>
        </w:rPr>
        <w:t>银行卡</w:t>
      </w:r>
      <w:r>
        <w:rPr>
          <w:rFonts w:ascii="楷体" w:hAnsi="楷体" w:eastAsia="楷体"/>
          <w:b/>
          <w:szCs w:val="21"/>
        </w:rPr>
        <w:t>收单</w:t>
      </w:r>
      <w:r>
        <w:rPr>
          <w:rFonts w:hint="eastAsia" w:ascii="楷体" w:hAnsi="楷体" w:eastAsia="楷体"/>
          <w:b/>
          <w:szCs w:val="21"/>
        </w:rPr>
        <w:t>产品</w:t>
      </w:r>
    </w:p>
    <w:p>
      <w:pPr>
        <w:rPr>
          <w:rFonts w:ascii="楷体" w:hAnsi="楷体" w:eastAsia="楷体"/>
          <w:b/>
          <w:szCs w:val="21"/>
        </w:rPr>
      </w:pPr>
      <w:r>
        <w:rPr>
          <w:rFonts w:hint="eastAsia" w:ascii="楷体" w:hAnsi="楷体" w:eastAsia="楷体"/>
          <w:b/>
          <w:szCs w:val="21"/>
        </w:rPr>
        <w:t>（一）银行卡</w:t>
      </w:r>
      <w:r>
        <w:rPr>
          <w:rFonts w:ascii="楷体" w:hAnsi="楷体" w:eastAsia="楷体"/>
          <w:b/>
          <w:szCs w:val="21"/>
        </w:rPr>
        <w:t>支付</w:t>
      </w:r>
    </w:p>
    <w:p>
      <w:pPr>
        <w:pStyle w:val="12"/>
        <w:numPr>
          <w:ilvl w:val="0"/>
          <w:numId w:val="18"/>
        </w:numPr>
        <w:ind w:firstLineChars="0"/>
        <w:rPr>
          <w:rFonts w:ascii="楷体" w:hAnsi="楷体" w:eastAsia="楷体"/>
          <w:b/>
          <w:szCs w:val="21"/>
        </w:rPr>
      </w:pPr>
      <w:r>
        <w:rPr>
          <w:rFonts w:hint="eastAsia" w:ascii="楷体" w:hAnsi="楷体" w:eastAsia="楷体"/>
          <w:szCs w:val="21"/>
        </w:rPr>
        <w:t>甲方应积极配合乙方在其营业场所指定收银台粘贴或摆放银行卡或</w:t>
      </w:r>
      <w:r>
        <w:rPr>
          <w:rFonts w:ascii="楷体" w:hAnsi="楷体" w:eastAsia="楷体"/>
          <w:szCs w:val="21"/>
        </w:rPr>
        <w:t>条码支付</w:t>
      </w:r>
      <w:r>
        <w:rPr>
          <w:rFonts w:hint="eastAsia" w:ascii="楷体" w:hAnsi="楷体" w:eastAsia="楷体"/>
          <w:szCs w:val="21"/>
        </w:rPr>
        <w:t>受理标识，不得将该受理标识用于其他任何用途。</w:t>
      </w:r>
    </w:p>
    <w:p>
      <w:pPr>
        <w:pStyle w:val="12"/>
        <w:numPr>
          <w:ilvl w:val="0"/>
          <w:numId w:val="18"/>
        </w:numPr>
        <w:ind w:firstLineChars="0"/>
        <w:rPr>
          <w:rFonts w:ascii="楷体" w:hAnsi="楷体" w:eastAsia="楷体"/>
          <w:b/>
          <w:szCs w:val="21"/>
        </w:rPr>
      </w:pPr>
      <w:r>
        <w:rPr>
          <w:rFonts w:hint="eastAsia" w:ascii="楷体" w:hAnsi="楷体" w:eastAsia="楷体"/>
          <w:szCs w:val="21"/>
        </w:rPr>
        <w:t>持卡人提出符合交易规定的刷卡消费要求，甲方不得拒绝。持卡人使用银行卡支付应被视同现金支付。</w:t>
      </w:r>
    </w:p>
    <w:p>
      <w:pPr>
        <w:pStyle w:val="12"/>
        <w:numPr>
          <w:ilvl w:val="0"/>
          <w:numId w:val="18"/>
        </w:numPr>
        <w:ind w:firstLineChars="0"/>
        <w:rPr>
          <w:rFonts w:ascii="楷体" w:hAnsi="楷体" w:eastAsia="楷体"/>
          <w:b/>
          <w:szCs w:val="21"/>
        </w:rPr>
      </w:pPr>
      <w:r>
        <w:rPr>
          <w:rFonts w:hint="eastAsia" w:ascii="楷体" w:hAnsi="楷体" w:eastAsia="楷体"/>
          <w:b/>
          <w:szCs w:val="21"/>
        </w:rPr>
        <w:t>甲方应保证签购单上信息与商户消费凭证、银行卡等信息保持一致，并根据银行要求和交易安全的需要，妥善保管持卡人签字确认的签购单及相关凭证（包括但不限于订单、发货凭证及乙方要求的其他交易资料）至少两年以上。签购单及消费凭证不得涂改，否则视为无效单据。如因甲方保管不当或遗失造成的经济损失由甲方承担。</w:t>
      </w:r>
    </w:p>
    <w:p>
      <w:pPr>
        <w:pStyle w:val="12"/>
        <w:numPr>
          <w:ilvl w:val="0"/>
          <w:numId w:val="18"/>
        </w:numPr>
        <w:ind w:firstLineChars="0"/>
        <w:rPr>
          <w:rFonts w:ascii="楷体" w:hAnsi="楷体" w:eastAsia="楷体"/>
          <w:szCs w:val="21"/>
        </w:rPr>
      </w:pPr>
      <w:r>
        <w:rPr>
          <w:rFonts w:hint="eastAsia" w:ascii="楷体" w:hAnsi="楷体" w:eastAsia="楷体"/>
          <w:szCs w:val="21"/>
        </w:rPr>
        <w:t>若发卡行或乙方要求甲方必须在相关方履行相关义务后（例如签订书面分期付款协议等）才能提供商品或服务的，甲方必须按照发卡行或乙方要求进行操作。如甲方违反此规定造成乙方或发卡行行损失的，甲方须承担赔偿责任。</w:t>
      </w:r>
    </w:p>
    <w:p>
      <w:pPr>
        <w:pStyle w:val="12"/>
        <w:numPr>
          <w:ilvl w:val="0"/>
          <w:numId w:val="18"/>
        </w:numPr>
        <w:ind w:firstLineChars="0"/>
        <w:rPr>
          <w:rFonts w:ascii="楷体" w:hAnsi="楷体" w:eastAsia="楷体"/>
          <w:b/>
          <w:szCs w:val="21"/>
        </w:rPr>
      </w:pPr>
      <w:r>
        <w:rPr>
          <w:rFonts w:hint="eastAsia" w:ascii="楷体" w:hAnsi="楷体" w:eastAsia="楷体"/>
          <w:b/>
          <w:szCs w:val="21"/>
        </w:rPr>
        <w:t>甲方应遵循银联</w:t>
      </w:r>
      <w:r>
        <w:rPr>
          <w:rFonts w:ascii="楷体" w:hAnsi="楷体" w:eastAsia="楷体"/>
          <w:b/>
          <w:szCs w:val="21"/>
        </w:rPr>
        <w:t>的相关操作规范，</w:t>
      </w:r>
      <w:r>
        <w:rPr>
          <w:rFonts w:hint="eastAsia" w:ascii="楷体" w:hAnsi="楷体" w:eastAsia="楷体"/>
          <w:b/>
          <w:szCs w:val="21"/>
        </w:rPr>
        <w:t>并按照下述</w:t>
      </w:r>
      <w:r>
        <w:rPr>
          <w:rFonts w:ascii="楷体" w:hAnsi="楷体" w:eastAsia="楷体"/>
          <w:b/>
          <w:szCs w:val="21"/>
        </w:rPr>
        <w:t>《操作指南》</w:t>
      </w:r>
      <w:r>
        <w:rPr>
          <w:rFonts w:hint="eastAsia" w:ascii="楷体" w:hAnsi="楷体" w:eastAsia="楷体"/>
          <w:b/>
          <w:szCs w:val="21"/>
        </w:rPr>
        <w:t>受理</w:t>
      </w:r>
      <w:r>
        <w:rPr>
          <w:rFonts w:ascii="楷体" w:hAnsi="楷体" w:eastAsia="楷体"/>
          <w:b/>
          <w:szCs w:val="21"/>
        </w:rPr>
        <w:t>银行卡</w:t>
      </w:r>
      <w:r>
        <w:rPr>
          <w:rFonts w:hint="eastAsia" w:ascii="楷体" w:hAnsi="楷体" w:eastAsia="楷体"/>
          <w:b/>
          <w:szCs w:val="21"/>
        </w:rPr>
        <w:t>，</w:t>
      </w:r>
      <w:r>
        <w:rPr>
          <w:rFonts w:ascii="楷体" w:hAnsi="楷体" w:eastAsia="楷体"/>
          <w:b/>
          <w:szCs w:val="21"/>
        </w:rPr>
        <w:t>甲方未按操作规范受理银行卡，造成的损失由甲方</w:t>
      </w:r>
      <w:r>
        <w:rPr>
          <w:rFonts w:hint="eastAsia" w:ascii="楷体" w:hAnsi="楷体" w:eastAsia="楷体"/>
          <w:b/>
          <w:szCs w:val="21"/>
        </w:rPr>
        <w:t>自行</w:t>
      </w:r>
      <w:r>
        <w:rPr>
          <w:rFonts w:ascii="楷体" w:hAnsi="楷体" w:eastAsia="楷体"/>
          <w:b/>
          <w:szCs w:val="21"/>
        </w:rPr>
        <w:t>承担：</w:t>
      </w:r>
    </w:p>
    <w:p>
      <w:pPr>
        <w:adjustRightInd w:val="0"/>
        <w:snapToGrid w:val="0"/>
        <w:ind w:firstLine="422" w:firstLineChars="200"/>
        <w:rPr>
          <w:rFonts w:ascii="楷体" w:hAnsi="楷体" w:eastAsia="楷体"/>
          <w:b/>
          <w:szCs w:val="21"/>
        </w:rPr>
      </w:pPr>
      <w:r>
        <w:rPr>
          <w:rFonts w:hint="eastAsia" w:ascii="楷体" w:hAnsi="楷体" w:eastAsia="楷体"/>
          <w:b/>
          <w:szCs w:val="21"/>
        </w:rPr>
        <w:t>（1）甲方必须确认下列情况，并按照联网受理终端机具的信息提示进行操作：</w:t>
      </w:r>
    </w:p>
    <w:p>
      <w:pPr>
        <w:pStyle w:val="12"/>
        <w:numPr>
          <w:ilvl w:val="0"/>
          <w:numId w:val="19"/>
        </w:numPr>
        <w:ind w:firstLineChars="0"/>
        <w:rPr>
          <w:rFonts w:ascii="楷体" w:hAnsi="楷体" w:eastAsia="楷体"/>
          <w:b/>
          <w:szCs w:val="21"/>
        </w:rPr>
      </w:pPr>
      <w:r>
        <w:rPr>
          <w:rFonts w:hint="eastAsia" w:ascii="楷体" w:hAnsi="楷体" w:eastAsia="楷体"/>
          <w:b/>
          <w:szCs w:val="21"/>
        </w:rPr>
        <w:t>验卡：持卡人出示的银联卡应完好无损，签名条已预留签名无涂改和伪造嫌疑；信用卡应印有真正可识别的镭射防伪标识及其信用卡特征；信用卡必须在有效期内使用。</w:t>
      </w:r>
    </w:p>
    <w:p>
      <w:pPr>
        <w:pStyle w:val="12"/>
        <w:numPr>
          <w:ilvl w:val="0"/>
          <w:numId w:val="19"/>
        </w:numPr>
        <w:ind w:firstLineChars="0"/>
        <w:rPr>
          <w:rFonts w:ascii="楷体" w:hAnsi="楷体" w:eastAsia="楷体"/>
          <w:b/>
          <w:szCs w:val="21"/>
        </w:rPr>
      </w:pPr>
      <w:r>
        <w:rPr>
          <w:rFonts w:hint="eastAsia" w:ascii="楷体" w:hAnsi="楷体" w:eastAsia="楷体"/>
          <w:b/>
          <w:szCs w:val="21"/>
        </w:rPr>
        <w:t>核对卡号：联网受理终端机具显示及签购单打印的银联卡卡号应与银联卡面卡号一致。</w:t>
      </w:r>
    </w:p>
    <w:p>
      <w:pPr>
        <w:pStyle w:val="12"/>
        <w:numPr>
          <w:ilvl w:val="0"/>
          <w:numId w:val="19"/>
        </w:numPr>
        <w:ind w:firstLineChars="0"/>
        <w:rPr>
          <w:rFonts w:ascii="楷体" w:hAnsi="楷体" w:eastAsia="楷体"/>
          <w:b/>
          <w:szCs w:val="21"/>
        </w:rPr>
      </w:pPr>
      <w:r>
        <w:rPr>
          <w:rFonts w:hint="eastAsia" w:ascii="楷体" w:hAnsi="楷体" w:eastAsia="楷体"/>
          <w:b/>
          <w:szCs w:val="21"/>
        </w:rPr>
        <w:t>核对签名：持卡人在签购单上的签名应与信用卡签名条预留的签名及持卡人姓名拼音相符。银行卡背面未预留签名的银行卡可拒绝受理。</w:t>
      </w:r>
    </w:p>
    <w:p>
      <w:pPr>
        <w:pStyle w:val="12"/>
        <w:numPr>
          <w:ilvl w:val="0"/>
          <w:numId w:val="19"/>
        </w:numPr>
        <w:ind w:firstLineChars="0"/>
        <w:rPr>
          <w:rFonts w:ascii="楷体" w:hAnsi="楷体" w:eastAsia="楷体"/>
          <w:b/>
          <w:szCs w:val="21"/>
        </w:rPr>
      </w:pPr>
      <w:r>
        <w:rPr>
          <w:rFonts w:hint="eastAsia" w:ascii="楷体" w:hAnsi="楷体" w:eastAsia="楷体"/>
          <w:b/>
          <w:szCs w:val="21"/>
        </w:rPr>
        <w:t>其他受理条件（包括密码授权、身份校验等）按照发卡银行的有关银行卡章程执行。</w:t>
      </w:r>
    </w:p>
    <w:p>
      <w:pPr>
        <w:adjustRightInd w:val="0"/>
        <w:snapToGrid w:val="0"/>
        <w:ind w:firstLine="422" w:firstLineChars="200"/>
        <w:rPr>
          <w:rFonts w:ascii="楷体" w:hAnsi="楷体" w:eastAsia="楷体"/>
          <w:b/>
          <w:szCs w:val="21"/>
        </w:rPr>
      </w:pPr>
      <w:r>
        <w:rPr>
          <w:rFonts w:hint="eastAsia" w:ascii="楷体" w:hAnsi="楷体" w:eastAsia="楷体"/>
          <w:b/>
          <w:szCs w:val="21"/>
        </w:rPr>
        <w:t>（2）交易</w:t>
      </w:r>
      <w:r>
        <w:rPr>
          <w:rFonts w:ascii="楷体" w:hAnsi="楷体" w:eastAsia="楷体"/>
          <w:b/>
          <w:szCs w:val="21"/>
        </w:rPr>
        <w:t>单据：</w:t>
      </w:r>
    </w:p>
    <w:p>
      <w:pPr>
        <w:pStyle w:val="12"/>
        <w:numPr>
          <w:ilvl w:val="0"/>
          <w:numId w:val="20"/>
        </w:numPr>
        <w:ind w:firstLineChars="0"/>
        <w:rPr>
          <w:rFonts w:ascii="楷体" w:hAnsi="楷体" w:eastAsia="楷体"/>
          <w:b/>
          <w:szCs w:val="21"/>
        </w:rPr>
      </w:pPr>
      <w:r>
        <w:rPr>
          <w:rFonts w:hint="eastAsia" w:ascii="楷体" w:hAnsi="楷体" w:eastAsia="楷体"/>
          <w:b/>
          <w:szCs w:val="21"/>
        </w:rPr>
        <w:t>满足下列全部条件的交易单据，本协议视为“有效交易单据”：</w:t>
      </w:r>
    </w:p>
    <w:p>
      <w:pPr>
        <w:ind w:firstLine="422" w:firstLineChars="200"/>
        <w:rPr>
          <w:rFonts w:ascii="楷体" w:hAnsi="楷体" w:eastAsia="楷体"/>
          <w:b/>
          <w:szCs w:val="21"/>
        </w:rPr>
      </w:pPr>
      <w:r>
        <w:rPr>
          <w:rFonts w:hint="eastAsia" w:ascii="楷体" w:hAnsi="楷体" w:eastAsia="楷体"/>
          <w:b/>
          <w:szCs w:val="21"/>
        </w:rPr>
        <w:t>甲方进行的银联卡交易，应是真实的商品或服务交易，其所采用的所有单据必须向乙方提供；</w:t>
      </w:r>
    </w:p>
    <w:p>
      <w:pPr>
        <w:ind w:firstLine="422" w:firstLineChars="200"/>
        <w:rPr>
          <w:rFonts w:ascii="楷体" w:hAnsi="楷体" w:eastAsia="楷体"/>
          <w:b/>
          <w:szCs w:val="21"/>
        </w:rPr>
      </w:pPr>
      <w:r>
        <w:rPr>
          <w:rFonts w:hint="eastAsia" w:ascii="楷体" w:hAnsi="楷体" w:eastAsia="楷体"/>
          <w:b/>
          <w:szCs w:val="21"/>
        </w:rPr>
        <w:t>交易单据经持卡人亲笔签名后甲方、乙方和持卡人各留存一份。甲方将存根联从交易日起，至少保留24个月；</w:t>
      </w:r>
    </w:p>
    <w:p>
      <w:pPr>
        <w:ind w:firstLine="422" w:firstLineChars="200"/>
        <w:rPr>
          <w:rFonts w:ascii="楷体" w:hAnsi="楷体" w:eastAsia="楷体"/>
          <w:b/>
          <w:szCs w:val="21"/>
        </w:rPr>
      </w:pPr>
      <w:r>
        <w:rPr>
          <w:rFonts w:hint="eastAsia" w:ascii="楷体" w:hAnsi="楷体" w:eastAsia="楷体"/>
          <w:b/>
          <w:szCs w:val="21"/>
        </w:rPr>
        <w:t>交易单据上的任何内容均为真实的银联卡交易要素，且内容清晰不得涂改。</w:t>
      </w:r>
    </w:p>
    <w:p>
      <w:pPr>
        <w:pStyle w:val="12"/>
        <w:numPr>
          <w:ilvl w:val="0"/>
          <w:numId w:val="20"/>
        </w:numPr>
        <w:ind w:firstLineChars="0"/>
        <w:rPr>
          <w:rFonts w:ascii="楷体" w:hAnsi="楷体" w:eastAsia="楷体"/>
          <w:b/>
          <w:szCs w:val="21"/>
        </w:rPr>
      </w:pPr>
      <w:r>
        <w:rPr>
          <w:rFonts w:hint="eastAsia" w:ascii="楷体" w:hAnsi="楷体" w:eastAsia="楷体"/>
          <w:b/>
          <w:szCs w:val="21"/>
        </w:rPr>
        <w:t>对甲方提交的非“有效交易单据”的任何交易单据，均视为无效交易单据，乙方有权中止清算或追讨清算资金。</w:t>
      </w:r>
    </w:p>
    <w:p>
      <w:pPr>
        <w:adjustRightInd w:val="0"/>
        <w:snapToGrid w:val="0"/>
        <w:ind w:firstLine="422" w:firstLineChars="200"/>
        <w:rPr>
          <w:rFonts w:ascii="楷体" w:hAnsi="楷体" w:eastAsia="楷体"/>
          <w:b/>
          <w:szCs w:val="21"/>
        </w:rPr>
      </w:pPr>
      <w:r>
        <w:rPr>
          <w:rFonts w:hint="eastAsia" w:ascii="楷体" w:hAnsi="楷体" w:eastAsia="楷体"/>
          <w:b/>
          <w:szCs w:val="21"/>
        </w:rPr>
        <w:t>（3）银联卡没收</w:t>
      </w:r>
      <w:r>
        <w:rPr>
          <w:rFonts w:ascii="楷体" w:hAnsi="楷体" w:eastAsia="楷体"/>
          <w:b/>
          <w:szCs w:val="21"/>
        </w:rPr>
        <w:t>处理</w:t>
      </w:r>
      <w:r>
        <w:rPr>
          <w:rFonts w:hint="eastAsia" w:ascii="楷体" w:hAnsi="楷体" w:eastAsia="楷体"/>
          <w:b/>
          <w:szCs w:val="21"/>
        </w:rPr>
        <w:t>：</w:t>
      </w:r>
    </w:p>
    <w:p>
      <w:pPr>
        <w:pStyle w:val="12"/>
        <w:numPr>
          <w:ilvl w:val="0"/>
          <w:numId w:val="21"/>
        </w:numPr>
        <w:ind w:firstLineChars="0"/>
        <w:rPr>
          <w:rFonts w:ascii="楷体" w:hAnsi="楷体" w:eastAsia="楷体"/>
          <w:b/>
          <w:szCs w:val="21"/>
        </w:rPr>
      </w:pPr>
      <w:r>
        <w:rPr>
          <w:rFonts w:hint="eastAsia" w:ascii="楷体" w:hAnsi="楷体" w:eastAsia="楷体"/>
          <w:b/>
          <w:szCs w:val="21"/>
        </w:rPr>
        <w:t>甲方受理银联卡出现下列情况时，有责任没收银联卡：</w:t>
      </w:r>
    </w:p>
    <w:p>
      <w:pPr>
        <w:ind w:firstLine="422" w:firstLineChars="200"/>
        <w:rPr>
          <w:rFonts w:ascii="楷体" w:hAnsi="楷体" w:eastAsia="楷体"/>
          <w:b/>
          <w:szCs w:val="21"/>
        </w:rPr>
      </w:pPr>
      <w:r>
        <w:rPr>
          <w:rFonts w:hint="eastAsia" w:ascii="楷体" w:hAnsi="楷体" w:eastAsia="楷体"/>
          <w:b/>
          <w:szCs w:val="21"/>
        </w:rPr>
        <w:t>i联网受理终端机具显示为应没收的银联卡；</w:t>
      </w:r>
    </w:p>
    <w:p>
      <w:pPr>
        <w:ind w:firstLine="422" w:firstLineChars="200"/>
        <w:rPr>
          <w:rFonts w:ascii="楷体" w:hAnsi="楷体" w:eastAsia="楷体"/>
          <w:b/>
          <w:szCs w:val="21"/>
        </w:rPr>
      </w:pPr>
      <w:r>
        <w:rPr>
          <w:rFonts w:hint="eastAsia" w:ascii="楷体" w:hAnsi="楷体" w:eastAsia="楷体"/>
          <w:b/>
          <w:szCs w:val="21"/>
        </w:rPr>
        <w:t>ii止付名单或乙方及入网成员机构向甲方指示（如申请授权时）必须收回的银联卡。</w:t>
      </w:r>
    </w:p>
    <w:p>
      <w:pPr>
        <w:pStyle w:val="12"/>
        <w:numPr>
          <w:ilvl w:val="0"/>
          <w:numId w:val="21"/>
        </w:numPr>
        <w:ind w:firstLineChars="0"/>
        <w:rPr>
          <w:rFonts w:ascii="楷体" w:hAnsi="楷体" w:eastAsia="楷体"/>
          <w:b/>
          <w:szCs w:val="21"/>
        </w:rPr>
      </w:pPr>
      <w:r>
        <w:rPr>
          <w:rFonts w:hint="eastAsia" w:ascii="楷体" w:hAnsi="楷体" w:eastAsia="楷体"/>
          <w:b/>
          <w:szCs w:val="21"/>
        </w:rPr>
        <w:t>银联卡已经没收，甲方必须当持卡人面立即将其明显地剪去一角，破坏磁条，并在没收次日起3个工作日内通知乙方处理。</w:t>
      </w:r>
    </w:p>
    <w:p>
      <w:pPr>
        <w:rPr>
          <w:rFonts w:ascii="楷体" w:hAnsi="楷体" w:eastAsia="楷体"/>
          <w:b/>
          <w:szCs w:val="21"/>
        </w:rPr>
      </w:pPr>
      <w:r>
        <w:rPr>
          <w:rFonts w:hint="eastAsia" w:ascii="楷体" w:hAnsi="楷体" w:eastAsia="楷体"/>
          <w:b/>
          <w:szCs w:val="21"/>
        </w:rPr>
        <w:t>（二）条码支付产品</w:t>
      </w:r>
    </w:p>
    <w:p>
      <w:pPr>
        <w:pStyle w:val="12"/>
        <w:numPr>
          <w:ilvl w:val="0"/>
          <w:numId w:val="22"/>
        </w:numPr>
        <w:ind w:firstLineChars="0"/>
        <w:rPr>
          <w:rFonts w:ascii="楷体" w:hAnsi="楷体" w:eastAsia="楷体"/>
          <w:szCs w:val="21"/>
        </w:rPr>
      </w:pPr>
      <w:r>
        <w:rPr>
          <w:rFonts w:hint="eastAsia" w:ascii="楷体" w:hAnsi="楷体" w:eastAsia="楷体"/>
          <w:b/>
          <w:szCs w:val="21"/>
        </w:rPr>
        <w:t>条码支付：</w:t>
      </w:r>
      <w:r>
        <w:rPr>
          <w:rFonts w:hint="eastAsia" w:ascii="楷体" w:hAnsi="楷体" w:eastAsia="楷体"/>
          <w:szCs w:val="21"/>
        </w:rPr>
        <w:t>指</w:t>
      </w:r>
      <w:r>
        <w:rPr>
          <w:rFonts w:ascii="楷体" w:hAnsi="楷体" w:eastAsia="楷体"/>
          <w:szCs w:val="21"/>
        </w:rPr>
        <w:t>乙方应用条码技术，</w:t>
      </w:r>
      <w:r>
        <w:rPr>
          <w:rFonts w:hint="eastAsia" w:ascii="楷体" w:hAnsi="楷体" w:eastAsia="楷体"/>
          <w:szCs w:val="21"/>
        </w:rPr>
        <w:t>为其特约商户甲方实现线下经营场景</w:t>
      </w:r>
      <w:r>
        <w:rPr>
          <w:rFonts w:ascii="楷体" w:hAnsi="楷体" w:eastAsia="楷体"/>
          <w:szCs w:val="21"/>
        </w:rPr>
        <w:t>货币资金转移的业务活动。包括</w:t>
      </w:r>
      <w:r>
        <w:rPr>
          <w:rFonts w:hint="eastAsia" w:ascii="楷体" w:hAnsi="楷体" w:eastAsia="楷体"/>
          <w:szCs w:val="21"/>
        </w:rPr>
        <w:t>付款</w:t>
      </w:r>
      <w:r>
        <w:rPr>
          <w:rFonts w:ascii="楷体" w:hAnsi="楷体" w:eastAsia="楷体"/>
          <w:szCs w:val="21"/>
        </w:rPr>
        <w:t>扫码：付款人通过</w:t>
      </w:r>
      <w:r>
        <w:rPr>
          <w:rFonts w:hint="eastAsia" w:ascii="楷体" w:hAnsi="楷体" w:eastAsia="楷体"/>
          <w:szCs w:val="21"/>
        </w:rPr>
        <w:t>移动</w:t>
      </w:r>
      <w:r>
        <w:rPr>
          <w:rFonts w:ascii="楷体" w:hAnsi="楷体" w:eastAsia="楷体"/>
          <w:szCs w:val="21"/>
        </w:rPr>
        <w:t>终端识读收款人展示的条码完成支付的行为</w:t>
      </w:r>
      <w:r>
        <w:rPr>
          <w:rFonts w:hint="eastAsia" w:ascii="楷体" w:hAnsi="楷体" w:eastAsia="楷体"/>
          <w:szCs w:val="21"/>
        </w:rPr>
        <w:t>；</w:t>
      </w:r>
      <w:r>
        <w:rPr>
          <w:rFonts w:ascii="楷体" w:hAnsi="楷体" w:eastAsia="楷体"/>
          <w:szCs w:val="21"/>
        </w:rPr>
        <w:t>收款扫码</w:t>
      </w:r>
      <w:r>
        <w:rPr>
          <w:rFonts w:hint="eastAsia" w:ascii="楷体" w:hAnsi="楷体" w:eastAsia="楷体"/>
          <w:szCs w:val="21"/>
        </w:rPr>
        <w:t>：收款人</w:t>
      </w:r>
      <w:r>
        <w:rPr>
          <w:rFonts w:ascii="楷体" w:hAnsi="楷体" w:eastAsia="楷体"/>
          <w:szCs w:val="21"/>
        </w:rPr>
        <w:t>通过识读付款人移动终端展示的条码完成支付的行为。也包括有受理终端场景条码支付</w:t>
      </w:r>
      <w:r>
        <w:rPr>
          <w:rFonts w:hint="eastAsia" w:ascii="楷体" w:hAnsi="楷体" w:eastAsia="楷体"/>
          <w:szCs w:val="21"/>
        </w:rPr>
        <w:t>：如布放在特约商户实体经营场所，用以与持卡人交互，实现甲方收款信息向乙方传输的设备，包括但不限于智能P</w:t>
      </w:r>
      <w:r>
        <w:rPr>
          <w:rFonts w:ascii="楷体" w:hAnsi="楷体" w:eastAsia="楷体"/>
          <w:szCs w:val="21"/>
        </w:rPr>
        <w:t>OS</w:t>
      </w:r>
      <w:r>
        <w:rPr>
          <w:rFonts w:hint="eastAsia" w:ascii="楷体" w:hAnsi="楷体" w:eastAsia="楷体"/>
          <w:szCs w:val="21"/>
        </w:rPr>
        <w:t>机、扫码机、条码支付台牌等；无受理终端场景条码支付：如通过非支付受理终端媒介生成的，可以在特约商户实体经营场所用以与持卡人交互，实现甲方收款信息向乙方传输的条码收付款方式。</w:t>
      </w:r>
    </w:p>
    <w:p>
      <w:pPr>
        <w:pStyle w:val="12"/>
        <w:numPr>
          <w:ilvl w:val="0"/>
          <w:numId w:val="22"/>
        </w:numPr>
        <w:ind w:firstLineChars="0"/>
        <w:rPr>
          <w:rFonts w:ascii="楷体" w:hAnsi="楷体" w:eastAsia="楷体"/>
          <w:szCs w:val="21"/>
        </w:rPr>
      </w:pPr>
      <w:r>
        <w:rPr>
          <w:rFonts w:hint="eastAsia" w:ascii="楷体" w:hAnsi="楷体" w:eastAsia="楷体"/>
          <w:b/>
          <w:szCs w:val="21"/>
        </w:rPr>
        <w:t>小程序支付：</w:t>
      </w:r>
      <w:r>
        <w:rPr>
          <w:rFonts w:hint="eastAsia" w:ascii="楷体" w:hAnsi="楷体" w:eastAsia="楷体"/>
          <w:szCs w:val="21"/>
        </w:rPr>
        <w:t>甲方用户在移动手机端甲方微信小程序中，通过乙方提供的接口唤起甲方用户微信钱包进行支付（线下场景）。</w:t>
      </w:r>
    </w:p>
    <w:p>
      <w:pPr>
        <w:pStyle w:val="12"/>
        <w:numPr>
          <w:ilvl w:val="0"/>
          <w:numId w:val="22"/>
        </w:numPr>
        <w:ind w:firstLineChars="0"/>
        <w:rPr>
          <w:rFonts w:ascii="楷体" w:hAnsi="楷体" w:eastAsia="楷体"/>
          <w:b/>
          <w:szCs w:val="21"/>
        </w:rPr>
      </w:pPr>
      <w:r>
        <w:rPr>
          <w:rFonts w:hint="eastAsia" w:ascii="楷体" w:hAnsi="楷体" w:eastAsia="楷体"/>
          <w:b/>
          <w:szCs w:val="21"/>
        </w:rPr>
        <w:t>公众号支付：</w:t>
      </w:r>
      <w:r>
        <w:rPr>
          <w:rFonts w:hint="eastAsia" w:ascii="楷体" w:hAnsi="楷体" w:eastAsia="楷体"/>
          <w:szCs w:val="21"/>
        </w:rPr>
        <w:t>甲方用户通过甲方公众号的支付页面发起支付指令，由乙方提供接口连接乙方合作机构后台完成支付（线下场景）。</w:t>
      </w:r>
    </w:p>
    <w:p>
      <w:pPr>
        <w:pStyle w:val="12"/>
        <w:numPr>
          <w:ilvl w:val="0"/>
          <w:numId w:val="22"/>
        </w:numPr>
        <w:ind w:firstLineChars="0"/>
        <w:rPr>
          <w:rFonts w:ascii="楷体" w:hAnsi="楷体" w:eastAsia="楷体"/>
          <w:szCs w:val="21"/>
        </w:rPr>
      </w:pPr>
      <w:r>
        <w:rPr>
          <w:rFonts w:ascii="楷体" w:hAnsi="楷体" w:eastAsia="楷体"/>
          <w:b/>
          <w:szCs w:val="21"/>
        </w:rPr>
        <w:t>APP唤醒支付</w:t>
      </w:r>
      <w:r>
        <w:rPr>
          <w:rFonts w:hint="eastAsia" w:ascii="楷体" w:hAnsi="楷体" w:eastAsia="楷体"/>
          <w:b/>
          <w:szCs w:val="21"/>
        </w:rPr>
        <w:t>：</w:t>
      </w:r>
      <w:r>
        <w:rPr>
          <w:rFonts w:hint="eastAsia" w:ascii="楷体" w:hAnsi="楷体" w:eastAsia="楷体"/>
          <w:szCs w:val="21"/>
        </w:rPr>
        <w:t>甲方用户在移动手机端使用甲方APP过程中，通过乙方提供的接口唤起手机上乙方合作机构APP（或网页版）支付界面进行支付。</w:t>
      </w:r>
    </w:p>
    <w:p>
      <w:pPr>
        <w:pStyle w:val="12"/>
        <w:numPr>
          <w:ilvl w:val="0"/>
          <w:numId w:val="22"/>
        </w:numPr>
        <w:ind w:firstLineChars="0"/>
        <w:rPr>
          <w:rFonts w:ascii="楷体" w:hAnsi="楷体" w:eastAsia="楷体"/>
          <w:szCs w:val="21"/>
        </w:rPr>
      </w:pPr>
      <w:r>
        <w:rPr>
          <w:rFonts w:hint="eastAsia" w:ascii="楷体" w:hAnsi="楷体" w:eastAsia="楷体"/>
          <w:szCs w:val="21"/>
        </w:rPr>
        <w:t>乙方有权依据自身</w:t>
      </w:r>
      <w:r>
        <w:rPr>
          <w:rFonts w:ascii="楷体" w:hAnsi="楷体" w:eastAsia="楷体"/>
          <w:szCs w:val="21"/>
        </w:rPr>
        <w:t>或清算机构或合作机构</w:t>
      </w:r>
      <w:r>
        <w:rPr>
          <w:rFonts w:hint="eastAsia" w:ascii="楷体" w:hAnsi="楷体" w:eastAsia="楷体"/>
          <w:szCs w:val="21"/>
        </w:rPr>
        <w:t>或</w:t>
      </w:r>
      <w:r>
        <w:rPr>
          <w:rFonts w:ascii="楷体" w:hAnsi="楷体" w:eastAsia="楷体"/>
          <w:szCs w:val="21"/>
        </w:rPr>
        <w:t>监管机构的</w:t>
      </w:r>
      <w:r>
        <w:rPr>
          <w:rFonts w:hint="eastAsia" w:ascii="楷体" w:hAnsi="楷体" w:eastAsia="楷体"/>
          <w:szCs w:val="21"/>
        </w:rPr>
        <w:t>风险控制要求，对条码支付产品的费率及单笔、单日限额等进行调整。</w:t>
      </w:r>
    </w:p>
    <w:p>
      <w:pPr>
        <w:pStyle w:val="12"/>
        <w:numPr>
          <w:ilvl w:val="0"/>
          <w:numId w:val="22"/>
        </w:numPr>
        <w:ind w:firstLineChars="0"/>
        <w:rPr>
          <w:rFonts w:ascii="楷体" w:hAnsi="楷体" w:eastAsia="楷体"/>
          <w:b/>
          <w:szCs w:val="21"/>
        </w:rPr>
      </w:pPr>
      <w:r>
        <w:rPr>
          <w:rFonts w:hint="eastAsia" w:ascii="楷体" w:hAnsi="楷体" w:eastAsia="楷体"/>
          <w:szCs w:val="21"/>
        </w:rPr>
        <w:t>对于发卡行或清算</w:t>
      </w:r>
      <w:r>
        <w:rPr>
          <w:rFonts w:ascii="楷体" w:hAnsi="楷体" w:eastAsia="楷体"/>
          <w:szCs w:val="21"/>
        </w:rPr>
        <w:t>机构</w:t>
      </w:r>
      <w:r>
        <w:rPr>
          <w:rFonts w:hint="eastAsia" w:ascii="楷体" w:hAnsi="楷体" w:eastAsia="楷体"/>
          <w:szCs w:val="21"/>
        </w:rPr>
        <w:t>的合理拒付（包括但不限于客户否认交易等）的交易风险和由此产生的损失由造成相关损失的责任方承担。</w:t>
      </w:r>
    </w:p>
    <w:p>
      <w:pPr>
        <w:rPr>
          <w:rFonts w:ascii="楷体" w:hAnsi="楷体" w:eastAsia="楷体"/>
          <w:b/>
          <w:szCs w:val="21"/>
        </w:rPr>
      </w:pPr>
      <w:r>
        <w:rPr>
          <w:rFonts w:hint="eastAsia" w:ascii="楷体" w:hAnsi="楷体" w:eastAsia="楷体"/>
          <w:b/>
          <w:szCs w:val="21"/>
        </w:rPr>
        <w:t>（三）花呗分期</w:t>
      </w:r>
    </w:p>
    <w:p>
      <w:pPr>
        <w:pStyle w:val="12"/>
        <w:numPr>
          <w:ilvl w:val="0"/>
          <w:numId w:val="23"/>
        </w:numPr>
        <w:ind w:firstLineChars="0"/>
        <w:rPr>
          <w:rFonts w:ascii="楷体" w:hAnsi="楷体" w:eastAsia="楷体"/>
          <w:b/>
          <w:szCs w:val="21"/>
        </w:rPr>
      </w:pPr>
      <w:r>
        <w:rPr>
          <w:rFonts w:ascii="楷体" w:hAnsi="楷体" w:eastAsia="楷体"/>
          <w:szCs w:val="21"/>
          <w:lang w:val="zh-CN"/>
        </w:rPr>
        <w:t>花呗分期</w:t>
      </w:r>
      <w:r>
        <w:rPr>
          <w:rFonts w:hint="eastAsia" w:ascii="楷体" w:hAnsi="楷体" w:eastAsia="楷体"/>
          <w:szCs w:val="21"/>
          <w:lang w:val="zh-CN"/>
        </w:rPr>
        <w:t>：</w:t>
      </w:r>
      <w:r>
        <w:rPr>
          <w:rFonts w:ascii="楷体" w:hAnsi="楷体" w:eastAsia="楷体"/>
          <w:szCs w:val="24"/>
          <w:lang w:val="zh-CN"/>
        </w:rPr>
        <w:t>指</w:t>
      </w:r>
      <w:r>
        <w:rPr>
          <w:rFonts w:hint="eastAsia" w:ascii="楷体" w:hAnsi="楷体" w:eastAsia="楷体"/>
          <w:szCs w:val="24"/>
          <w:lang w:val="zh-CN"/>
        </w:rPr>
        <w:t>杭州蚂蚁金服信息技术有限公司</w:t>
      </w:r>
      <w:r>
        <w:rPr>
          <w:rFonts w:hint="eastAsia" w:ascii="楷体" w:hAnsi="楷体" w:eastAsia="楷体"/>
          <w:szCs w:val="21"/>
          <w:lang w:val="zh-CN"/>
        </w:rPr>
        <w:t>（简称“蚂蚁金服”）的</w:t>
      </w:r>
      <w:r>
        <w:rPr>
          <w:rFonts w:ascii="楷体" w:hAnsi="楷体" w:eastAsia="楷体"/>
          <w:szCs w:val="24"/>
          <w:lang w:val="zh-CN"/>
        </w:rPr>
        <w:t>“花呗”消费金融产品项下，由适格主体向客户提供的使用授信资金付款，并确定分期还款期数和还款金额的服务。</w:t>
      </w:r>
    </w:p>
    <w:p>
      <w:pPr>
        <w:pStyle w:val="12"/>
        <w:numPr>
          <w:ilvl w:val="0"/>
          <w:numId w:val="23"/>
        </w:numPr>
        <w:ind w:firstLineChars="0"/>
        <w:rPr>
          <w:rFonts w:ascii="楷体" w:hAnsi="楷体" w:eastAsia="楷体"/>
          <w:szCs w:val="24"/>
          <w:lang w:val="zh-CN"/>
        </w:rPr>
      </w:pPr>
      <w:r>
        <w:rPr>
          <w:rFonts w:ascii="楷体" w:hAnsi="楷体" w:eastAsia="楷体"/>
          <w:szCs w:val="24"/>
          <w:lang w:val="zh-CN"/>
        </w:rPr>
        <w:t>代偿模式</w:t>
      </w:r>
      <w:r>
        <w:rPr>
          <w:rFonts w:hint="eastAsia" w:ascii="楷体" w:hAnsi="楷体" w:eastAsia="楷体"/>
          <w:szCs w:val="24"/>
          <w:lang w:val="zh-CN"/>
        </w:rPr>
        <w:t>：指商户承担花呗分期还款服务费、乙方关联公司先行在一定周期内代为偿付花呗分期还款服务费的模式。</w:t>
      </w:r>
    </w:p>
    <w:p>
      <w:pPr>
        <w:pStyle w:val="12"/>
        <w:numPr>
          <w:ilvl w:val="0"/>
          <w:numId w:val="23"/>
        </w:numPr>
        <w:ind w:firstLineChars="0"/>
        <w:rPr>
          <w:rFonts w:ascii="楷体" w:hAnsi="楷体" w:eastAsia="楷体"/>
          <w:szCs w:val="21"/>
          <w:lang w:val="zh-CN"/>
        </w:rPr>
      </w:pPr>
      <w:r>
        <w:rPr>
          <w:rFonts w:ascii="楷体" w:hAnsi="楷体" w:eastAsia="楷体"/>
          <w:szCs w:val="21"/>
          <w:lang w:val="zh-CN"/>
        </w:rPr>
        <w:t>甲方使用花呗分期功能时</w:t>
      </w:r>
      <w:r>
        <w:rPr>
          <w:rFonts w:hint="eastAsia" w:ascii="楷体" w:hAnsi="楷体" w:eastAsia="楷体"/>
          <w:szCs w:val="21"/>
          <w:lang w:val="zh-CN"/>
        </w:rPr>
        <w:t>应当遵守分期功能提供方蚂蚁金服业务规则。因甲方与蚂蚁金服之间产生的任何纠纷与乙方无关，由甲方与蚂蚁金服自行解决。</w:t>
      </w:r>
    </w:p>
    <w:p>
      <w:pPr>
        <w:pStyle w:val="12"/>
        <w:numPr>
          <w:ilvl w:val="0"/>
          <w:numId w:val="17"/>
        </w:numPr>
        <w:ind w:firstLineChars="0"/>
        <w:rPr>
          <w:rFonts w:ascii="楷体" w:hAnsi="楷体" w:eastAsia="楷体"/>
          <w:b/>
          <w:szCs w:val="21"/>
        </w:rPr>
      </w:pPr>
      <w:r>
        <w:rPr>
          <w:rFonts w:ascii="楷体" w:hAnsi="楷体" w:eastAsia="楷体"/>
          <w:b/>
          <w:szCs w:val="21"/>
        </w:rPr>
        <w:t>网络支付产品</w:t>
      </w:r>
    </w:p>
    <w:p>
      <w:pPr>
        <w:pStyle w:val="12"/>
        <w:numPr>
          <w:ilvl w:val="0"/>
          <w:numId w:val="24"/>
        </w:numPr>
        <w:tabs>
          <w:tab w:val="left" w:pos="720"/>
        </w:tabs>
        <w:ind w:left="420" w:hanging="420" w:firstLineChars="0"/>
        <w:rPr>
          <w:rFonts w:ascii="楷体" w:hAnsi="楷体" w:eastAsia="楷体"/>
          <w:szCs w:val="21"/>
        </w:rPr>
      </w:pPr>
      <w:r>
        <w:rPr>
          <w:rFonts w:hint="eastAsia" w:ascii="楷体" w:hAnsi="楷体" w:eastAsia="楷体"/>
          <w:b/>
          <w:szCs w:val="21"/>
        </w:rPr>
        <w:t>条码支付</w:t>
      </w:r>
      <w:r>
        <w:rPr>
          <w:rFonts w:ascii="楷体" w:hAnsi="楷体" w:eastAsia="楷体"/>
          <w:b/>
          <w:szCs w:val="21"/>
        </w:rPr>
        <w:t>：</w:t>
      </w:r>
      <w:r>
        <w:rPr>
          <w:rFonts w:hint="eastAsia" w:ascii="楷体" w:hAnsi="楷体" w:eastAsia="楷体"/>
          <w:szCs w:val="21"/>
        </w:rPr>
        <w:t>指</w:t>
      </w:r>
      <w:r>
        <w:rPr>
          <w:rFonts w:ascii="楷体" w:hAnsi="楷体" w:eastAsia="楷体"/>
          <w:szCs w:val="21"/>
        </w:rPr>
        <w:t>乙方应用条码技术，</w:t>
      </w:r>
      <w:r>
        <w:rPr>
          <w:rFonts w:hint="eastAsia" w:ascii="楷体" w:hAnsi="楷体" w:eastAsia="楷体"/>
          <w:szCs w:val="21"/>
        </w:rPr>
        <w:t>为其特约商户甲方实现线上经营场景</w:t>
      </w:r>
      <w:r>
        <w:rPr>
          <w:rFonts w:ascii="楷体" w:hAnsi="楷体" w:eastAsia="楷体"/>
          <w:szCs w:val="21"/>
        </w:rPr>
        <w:t>货币资金转移的业务活动。包括</w:t>
      </w:r>
      <w:r>
        <w:rPr>
          <w:rFonts w:hint="eastAsia" w:ascii="楷体" w:hAnsi="楷体" w:eastAsia="楷体"/>
          <w:szCs w:val="21"/>
        </w:rPr>
        <w:t>付款</w:t>
      </w:r>
      <w:r>
        <w:rPr>
          <w:rFonts w:ascii="楷体" w:hAnsi="楷体" w:eastAsia="楷体"/>
          <w:szCs w:val="21"/>
        </w:rPr>
        <w:t>扫码：付款人通过</w:t>
      </w:r>
      <w:r>
        <w:rPr>
          <w:rFonts w:hint="eastAsia" w:ascii="楷体" w:hAnsi="楷体" w:eastAsia="楷体"/>
          <w:szCs w:val="21"/>
        </w:rPr>
        <w:t>移动</w:t>
      </w:r>
      <w:r>
        <w:rPr>
          <w:rFonts w:ascii="楷体" w:hAnsi="楷体" w:eastAsia="楷体"/>
          <w:szCs w:val="21"/>
        </w:rPr>
        <w:t>终端识读收款人展示的条码完成支付的行为</w:t>
      </w:r>
      <w:r>
        <w:rPr>
          <w:rFonts w:hint="eastAsia" w:ascii="楷体" w:hAnsi="楷体" w:eastAsia="楷体"/>
          <w:szCs w:val="21"/>
        </w:rPr>
        <w:t>；</w:t>
      </w:r>
      <w:r>
        <w:rPr>
          <w:rFonts w:ascii="楷体" w:hAnsi="楷体" w:eastAsia="楷体"/>
          <w:szCs w:val="21"/>
        </w:rPr>
        <w:t>收款扫码</w:t>
      </w:r>
      <w:r>
        <w:rPr>
          <w:rFonts w:hint="eastAsia" w:ascii="楷体" w:hAnsi="楷体" w:eastAsia="楷体"/>
          <w:szCs w:val="21"/>
        </w:rPr>
        <w:t>：收款人</w:t>
      </w:r>
      <w:r>
        <w:rPr>
          <w:rFonts w:ascii="楷体" w:hAnsi="楷体" w:eastAsia="楷体"/>
          <w:szCs w:val="21"/>
        </w:rPr>
        <w:t>通过识读付款人移动终端展示的条码完成支付的行为。</w:t>
      </w:r>
      <w:r>
        <w:rPr>
          <w:rFonts w:hint="eastAsia" w:ascii="楷体" w:hAnsi="楷体" w:eastAsia="楷体"/>
          <w:szCs w:val="21"/>
        </w:rPr>
        <w:t>乙方有权依据自身</w:t>
      </w:r>
      <w:r>
        <w:rPr>
          <w:rFonts w:ascii="楷体" w:hAnsi="楷体" w:eastAsia="楷体"/>
          <w:szCs w:val="21"/>
        </w:rPr>
        <w:t>或清算机构或合作机构</w:t>
      </w:r>
      <w:r>
        <w:rPr>
          <w:rFonts w:hint="eastAsia" w:ascii="楷体" w:hAnsi="楷体" w:eastAsia="楷体"/>
          <w:szCs w:val="21"/>
        </w:rPr>
        <w:t>或</w:t>
      </w:r>
      <w:r>
        <w:rPr>
          <w:rFonts w:ascii="楷体" w:hAnsi="楷体" w:eastAsia="楷体"/>
          <w:szCs w:val="21"/>
        </w:rPr>
        <w:t>监管机构的</w:t>
      </w:r>
      <w:r>
        <w:rPr>
          <w:rFonts w:hint="eastAsia" w:ascii="楷体" w:hAnsi="楷体" w:eastAsia="楷体"/>
          <w:szCs w:val="21"/>
        </w:rPr>
        <w:t>风险控制要求，对条码支付的费率及单笔、单日限额等进行调整。</w:t>
      </w:r>
    </w:p>
    <w:p>
      <w:pPr>
        <w:pStyle w:val="12"/>
        <w:numPr>
          <w:ilvl w:val="0"/>
          <w:numId w:val="24"/>
        </w:numPr>
        <w:tabs>
          <w:tab w:val="left" w:pos="720"/>
        </w:tabs>
        <w:ind w:left="420" w:hanging="420" w:firstLineChars="0"/>
        <w:rPr>
          <w:rFonts w:ascii="楷体" w:hAnsi="楷体" w:eastAsia="楷体"/>
          <w:szCs w:val="21"/>
        </w:rPr>
      </w:pPr>
      <w:r>
        <w:rPr>
          <w:rFonts w:hint="eastAsia" w:ascii="楷体" w:hAnsi="楷体" w:eastAsia="楷体"/>
          <w:b/>
          <w:szCs w:val="21"/>
        </w:rPr>
        <w:t>小程序支付：</w:t>
      </w:r>
      <w:r>
        <w:rPr>
          <w:rFonts w:hint="eastAsia" w:ascii="楷体" w:hAnsi="楷体" w:eastAsia="楷体"/>
          <w:szCs w:val="21"/>
        </w:rPr>
        <w:t>甲方用户在移动手机端甲方微信小程序中，通过乙方提供的接口唤起甲方用户微信钱包进行支付（线上场景）。</w:t>
      </w:r>
    </w:p>
    <w:p>
      <w:pPr>
        <w:pStyle w:val="12"/>
        <w:numPr>
          <w:ilvl w:val="0"/>
          <w:numId w:val="24"/>
        </w:numPr>
        <w:tabs>
          <w:tab w:val="left" w:pos="720"/>
        </w:tabs>
        <w:ind w:left="420" w:hanging="420" w:firstLineChars="0"/>
        <w:rPr>
          <w:rFonts w:ascii="楷体" w:hAnsi="楷体" w:eastAsia="楷体"/>
          <w:b/>
          <w:szCs w:val="21"/>
        </w:rPr>
      </w:pPr>
      <w:r>
        <w:rPr>
          <w:rFonts w:hint="eastAsia" w:ascii="楷体" w:hAnsi="楷体" w:eastAsia="楷体"/>
          <w:b/>
          <w:szCs w:val="21"/>
        </w:rPr>
        <w:t>公众号支付：</w:t>
      </w:r>
      <w:r>
        <w:rPr>
          <w:rFonts w:hint="eastAsia" w:ascii="楷体" w:hAnsi="楷体" w:eastAsia="楷体"/>
          <w:szCs w:val="21"/>
        </w:rPr>
        <w:t>甲方用户通过甲方公众号的支付页面发起支付指令，由乙方提供接口连接乙方合作机构后台完成支付（线上场景）。</w:t>
      </w:r>
    </w:p>
    <w:p>
      <w:pPr>
        <w:pStyle w:val="12"/>
        <w:numPr>
          <w:ilvl w:val="0"/>
          <w:numId w:val="24"/>
        </w:numPr>
        <w:tabs>
          <w:tab w:val="left" w:pos="720"/>
        </w:tabs>
        <w:ind w:left="420" w:hanging="420" w:firstLineChars="0"/>
        <w:rPr>
          <w:rFonts w:ascii="楷体" w:hAnsi="楷体" w:eastAsia="楷体"/>
          <w:szCs w:val="21"/>
        </w:rPr>
      </w:pPr>
      <w:r>
        <w:rPr>
          <w:rFonts w:ascii="楷体" w:hAnsi="楷体" w:eastAsia="楷体"/>
          <w:b/>
          <w:szCs w:val="21"/>
        </w:rPr>
        <w:t>APP唤醒支付</w:t>
      </w:r>
      <w:r>
        <w:rPr>
          <w:rFonts w:hint="eastAsia" w:ascii="楷体" w:hAnsi="楷体" w:eastAsia="楷体"/>
          <w:b/>
          <w:szCs w:val="21"/>
        </w:rPr>
        <w:t>：</w:t>
      </w:r>
      <w:r>
        <w:rPr>
          <w:rFonts w:hint="eastAsia" w:ascii="楷体" w:hAnsi="楷体" w:eastAsia="楷体"/>
          <w:szCs w:val="21"/>
        </w:rPr>
        <w:t>甲方用户在移动手机端使用甲方APP过程中，通过乙方提供的接口唤起手机上乙方合作机构APP（或网页版）支付界面进行支付。</w:t>
      </w:r>
    </w:p>
    <w:p>
      <w:pPr>
        <w:pStyle w:val="12"/>
        <w:numPr>
          <w:ilvl w:val="0"/>
          <w:numId w:val="24"/>
        </w:numPr>
        <w:tabs>
          <w:tab w:val="left" w:pos="720"/>
        </w:tabs>
        <w:ind w:left="420" w:hanging="420" w:firstLineChars="0"/>
        <w:rPr>
          <w:rFonts w:ascii="楷体" w:hAnsi="楷体" w:eastAsia="楷体"/>
          <w:b/>
          <w:szCs w:val="21"/>
        </w:rPr>
      </w:pPr>
      <w:r>
        <w:rPr>
          <w:rFonts w:hint="eastAsia" w:ascii="楷体" w:hAnsi="楷体" w:eastAsia="楷体"/>
          <w:b/>
          <w:szCs w:val="21"/>
        </w:rPr>
        <w:t>分账：</w:t>
      </w:r>
      <w:r>
        <w:rPr>
          <w:rFonts w:hint="eastAsia" w:ascii="楷体" w:hAnsi="楷体" w:eastAsia="楷体"/>
          <w:szCs w:val="21"/>
        </w:rPr>
        <w:t>乙方根据甲方或甲方授权的分账发起方向乙方传输的指令，凭专属账户余额资金，直接将待结算资金部分划付至甲方的账户，部分划付至分账接受方（如：供应商、平台、个人等）的账户。</w:t>
      </w:r>
    </w:p>
    <w:p>
      <w:pPr>
        <w:pStyle w:val="6"/>
        <w:spacing w:before="0" w:beforeAutospacing="0" w:after="0" w:afterAutospacing="0"/>
        <w:ind w:firstLine="422" w:firstLineChars="200"/>
        <w:jc w:val="both"/>
        <w:rPr>
          <w:rFonts w:ascii="楷体" w:hAnsi="楷体" w:eastAsia="楷体" w:cs="Times New Roman"/>
          <w:b/>
          <w:bCs/>
          <w:kern w:val="2"/>
          <w:sz w:val="21"/>
          <w:szCs w:val="21"/>
        </w:rPr>
      </w:pPr>
      <w:r>
        <w:rPr>
          <w:rFonts w:hint="eastAsia" w:ascii="楷体" w:hAnsi="楷体" w:eastAsia="楷体" w:cs="Times New Roman"/>
          <w:b/>
          <w:bCs/>
          <w:kern w:val="2"/>
          <w:sz w:val="21"/>
          <w:szCs w:val="21"/>
        </w:rPr>
        <w:t>本协议下，甲方凭通过</w:t>
      </w:r>
      <w:permStart w:id="62" w:edGrp="everyone"/>
      <w:r>
        <w:rPr>
          <w:rFonts w:hint="eastAsia" w:ascii="楷体" w:hAnsi="楷体" w:eastAsia="楷体" w:cs="Times New Roman"/>
          <w:b/>
          <w:bCs/>
          <w:kern w:val="2"/>
          <w:sz w:val="21"/>
          <w:szCs w:val="21"/>
        </w:rPr>
        <w:t xml:space="preserve"> </w:t>
      </w:r>
      <w:r>
        <w:rPr>
          <w:rFonts w:ascii="楷体" w:hAnsi="楷体" w:eastAsia="楷体" w:cs="Times New Roman"/>
          <w:b/>
          <w:bCs/>
          <w:kern w:val="2"/>
          <w:sz w:val="21"/>
          <w:szCs w:val="21"/>
        </w:rPr>
        <w:t xml:space="preserve">      </w:t>
      </w:r>
      <w:r>
        <w:rPr>
          <w:rFonts w:hint="eastAsia" w:ascii="楷体" w:hAnsi="楷体" w:eastAsia="楷体" w:cs="Times New Roman"/>
          <w:b/>
          <w:bCs/>
          <w:kern w:val="2"/>
          <w:sz w:val="21"/>
          <w:szCs w:val="21"/>
        </w:rPr>
        <w:t>公司</w:t>
      </w:r>
      <w:permEnd w:id="62"/>
      <w:r>
        <w:rPr>
          <w:rFonts w:hint="eastAsia" w:ascii="楷体" w:hAnsi="楷体" w:eastAsia="楷体" w:cs="Times New Roman"/>
          <w:b/>
          <w:bCs/>
          <w:kern w:val="2"/>
          <w:sz w:val="21"/>
          <w:szCs w:val="21"/>
        </w:rPr>
        <w:t>开发的</w:t>
      </w:r>
      <w:permStart w:id="63" w:edGrp="everyone"/>
      <w:r>
        <w:rPr>
          <w:rFonts w:hint="eastAsia" w:ascii="楷体" w:hAnsi="楷体" w:eastAsia="楷体" w:cs="Times New Roman"/>
          <w:b/>
          <w:bCs/>
          <w:kern w:val="2"/>
          <w:sz w:val="21"/>
          <w:szCs w:val="21"/>
        </w:rPr>
        <w:t xml:space="preserve"> </w:t>
      </w:r>
      <w:r>
        <w:rPr>
          <w:rFonts w:ascii="楷体" w:hAnsi="楷体" w:eastAsia="楷体" w:cs="Times New Roman"/>
          <w:b/>
          <w:bCs/>
          <w:kern w:val="2"/>
          <w:sz w:val="21"/>
          <w:szCs w:val="21"/>
        </w:rPr>
        <w:t xml:space="preserve">    </w:t>
      </w:r>
      <w:permEnd w:id="63"/>
      <w:r>
        <w:rPr>
          <w:rFonts w:hint="eastAsia" w:ascii="楷体" w:hAnsi="楷体" w:eastAsia="楷体" w:cs="Times New Roman"/>
          <w:b/>
          <w:bCs/>
          <w:kern w:val="2"/>
          <w:sz w:val="21"/>
          <w:szCs w:val="21"/>
        </w:rPr>
        <w:t>系统/平台（网址：</w:t>
      </w:r>
      <w:permStart w:id="64" w:edGrp="everyone"/>
      <w:r>
        <w:rPr>
          <w:rFonts w:hint="eastAsia" w:ascii="楷体" w:hAnsi="楷体" w:eastAsia="楷体" w:cs="Times New Roman"/>
          <w:b/>
          <w:bCs/>
          <w:kern w:val="2"/>
          <w:sz w:val="21"/>
          <w:szCs w:val="21"/>
        </w:rPr>
        <w:t xml:space="preserve"> </w:t>
      </w:r>
      <w:r>
        <w:rPr>
          <w:rFonts w:ascii="楷体" w:hAnsi="楷体" w:eastAsia="楷体" w:cs="Times New Roman"/>
          <w:b/>
          <w:bCs/>
          <w:kern w:val="2"/>
          <w:sz w:val="21"/>
          <w:szCs w:val="21"/>
        </w:rPr>
        <w:t xml:space="preserve">       </w:t>
      </w:r>
      <w:r>
        <w:fldChar w:fldCharType="begin"/>
      </w:r>
      <w:r>
        <w:instrText xml:space="preserve"> HYPERLINK "https://huimei.cloudpnr.com/merconsole/index.php" </w:instrText>
      </w:r>
      <w:r>
        <w:fldChar w:fldCharType="separate"/>
      </w:r>
      <w:r>
        <w:fldChar w:fldCharType="end"/>
      </w:r>
      <w:r>
        <w:rPr>
          <w:rFonts w:ascii="楷体" w:hAnsi="楷体" w:eastAsia="楷体" w:cs="Times New Roman"/>
          <w:b/>
          <w:bCs/>
          <w:kern w:val="2"/>
          <w:sz w:val="21"/>
          <w:szCs w:val="21"/>
        </w:rPr>
        <w:t xml:space="preserve"> </w:t>
      </w:r>
      <w:permEnd w:id="64"/>
      <w:r>
        <w:rPr>
          <w:rFonts w:hint="eastAsia" w:ascii="楷体" w:hAnsi="楷体" w:eastAsia="楷体" w:cs="Times New Roman"/>
          <w:b/>
          <w:bCs/>
          <w:kern w:val="2"/>
          <w:sz w:val="21"/>
          <w:szCs w:val="21"/>
        </w:rPr>
        <w:t>）（下简称“业务系统”）向乙方支付系统发送向与甲方存在业务往来的指定收款人付款的分账指令，乙方按指令完成资金划拨。</w:t>
      </w:r>
    </w:p>
    <w:p>
      <w:pPr>
        <w:pStyle w:val="6"/>
        <w:spacing w:before="0" w:beforeAutospacing="0" w:after="0" w:afterAutospacing="0"/>
        <w:ind w:firstLine="422" w:firstLineChars="200"/>
        <w:jc w:val="both"/>
        <w:rPr>
          <w:rFonts w:ascii="楷体" w:hAnsi="楷体" w:eastAsia="楷体" w:cs="Times New Roman"/>
          <w:b/>
          <w:bCs/>
          <w:kern w:val="2"/>
          <w:sz w:val="21"/>
          <w:szCs w:val="21"/>
        </w:rPr>
      </w:pPr>
      <w:r>
        <w:rPr>
          <w:rFonts w:hint="eastAsia" w:ascii="楷体" w:hAnsi="楷体" w:eastAsia="楷体" w:cs="Times New Roman"/>
          <w:b/>
          <w:bCs/>
          <w:kern w:val="2"/>
          <w:sz w:val="21"/>
          <w:szCs w:val="21"/>
        </w:rPr>
        <w:t>甲方在使用本协议项下分账功能时，通过业务系统提交资质材料、电子支付及交易等信息。甲方授权乙方向支付清算机构提供交易所必需的必要信息，</w:t>
      </w:r>
    </w:p>
    <w:p>
      <w:pPr>
        <w:pStyle w:val="6"/>
        <w:spacing w:before="0" w:beforeAutospacing="0" w:after="0" w:afterAutospacing="0"/>
        <w:ind w:firstLine="422" w:firstLineChars="200"/>
        <w:jc w:val="both"/>
        <w:rPr>
          <w:rFonts w:ascii="楷体" w:hAnsi="楷体" w:eastAsia="楷体" w:cs="Times New Roman"/>
          <w:b/>
          <w:bCs/>
          <w:kern w:val="2"/>
          <w:sz w:val="21"/>
          <w:szCs w:val="21"/>
        </w:rPr>
      </w:pPr>
      <w:r>
        <w:rPr>
          <w:rFonts w:hint="eastAsia" w:ascii="楷体" w:hAnsi="楷体" w:eastAsia="楷体" w:cs="Times New Roman"/>
          <w:b/>
          <w:bCs/>
          <w:kern w:val="2"/>
          <w:sz w:val="21"/>
          <w:szCs w:val="21"/>
        </w:rPr>
        <w:t>本协议下甲方通过业务系统发出的任何交易指令、交易信息及向乙方提供服务有关的资料等均视为甲方发出，甲方应对此承担法律后果和法律责任。</w:t>
      </w:r>
    </w:p>
    <w:p>
      <w:pPr>
        <w:pStyle w:val="6"/>
        <w:spacing w:before="0" w:beforeAutospacing="0" w:after="0" w:afterAutospacing="0"/>
        <w:ind w:firstLine="422" w:firstLineChars="200"/>
        <w:jc w:val="both"/>
        <w:rPr>
          <w:rFonts w:ascii="楷体" w:hAnsi="楷体" w:eastAsia="楷体" w:cs="Times New Roman"/>
          <w:b/>
          <w:bCs/>
          <w:kern w:val="2"/>
          <w:sz w:val="21"/>
          <w:szCs w:val="21"/>
        </w:rPr>
      </w:pPr>
      <w:r>
        <w:rPr>
          <w:rFonts w:hint="eastAsia" w:ascii="楷体" w:hAnsi="楷体" w:eastAsia="楷体" w:cs="Times New Roman"/>
          <w:b/>
          <w:bCs/>
          <w:kern w:val="2"/>
          <w:sz w:val="21"/>
          <w:szCs w:val="21"/>
        </w:rPr>
        <w:t>本协议项下，甲方通过平台发出的支付指令为不可撤销的付款指示,且每笔分账</w:t>
      </w:r>
      <w:r>
        <w:rPr>
          <w:rFonts w:ascii="楷体" w:hAnsi="楷体" w:eastAsia="楷体" w:cs="Times New Roman"/>
          <w:b/>
          <w:bCs/>
          <w:kern w:val="2"/>
          <w:sz w:val="21"/>
          <w:szCs w:val="21"/>
        </w:rPr>
        <w:t>申请</w:t>
      </w:r>
      <w:r>
        <w:rPr>
          <w:rFonts w:hint="eastAsia" w:ascii="楷体" w:hAnsi="楷体" w:eastAsia="楷体" w:cs="Times New Roman"/>
          <w:b/>
          <w:bCs/>
          <w:kern w:val="2"/>
          <w:sz w:val="21"/>
          <w:szCs w:val="21"/>
        </w:rPr>
        <w:t>只能对应一次成功的支付指令。甲方使用乙方的分账功能时，应确保自身通过业务系统发出的支付指令的合法性、真实性、有效性和完整性。乙方按甲方的支付指令完成操作后，包括但不限于甲方及其客户提供的支付信息不准确等因素造成的资金风险和责任由甲方承担。</w:t>
      </w:r>
    </w:p>
    <w:p>
      <w:pPr>
        <w:pStyle w:val="6"/>
        <w:spacing w:before="0" w:beforeAutospacing="0" w:after="0" w:afterAutospacing="0"/>
        <w:ind w:firstLine="422" w:firstLineChars="200"/>
        <w:jc w:val="both"/>
        <w:rPr>
          <w:rFonts w:ascii="楷体" w:hAnsi="楷体" w:eastAsia="楷体" w:cs="Times New Roman"/>
          <w:b/>
          <w:bCs/>
          <w:kern w:val="2"/>
          <w:sz w:val="21"/>
          <w:szCs w:val="21"/>
        </w:rPr>
      </w:pPr>
      <w:r>
        <w:rPr>
          <w:rFonts w:hint="eastAsia" w:ascii="楷体" w:hAnsi="楷体" w:eastAsia="楷体" w:cs="Times New Roman"/>
          <w:b/>
          <w:bCs/>
          <w:kern w:val="2"/>
          <w:sz w:val="21"/>
          <w:szCs w:val="21"/>
        </w:rPr>
        <w:t>甲方承诺对所提供的收款人的账户信息及支付金额的准确性负责，并承担因信息不准确（包括但不限于错误、重复、确实等）导致的延迟或错误入账的风险责任。</w:t>
      </w:r>
    </w:p>
    <w:p>
      <w:pPr>
        <w:pStyle w:val="6"/>
        <w:spacing w:before="0" w:beforeAutospacing="0" w:after="0" w:afterAutospacing="0"/>
        <w:ind w:firstLine="422" w:firstLineChars="200"/>
        <w:jc w:val="both"/>
        <w:rPr>
          <w:rFonts w:ascii="楷体" w:hAnsi="楷体" w:eastAsia="楷体" w:cs="Times New Roman"/>
          <w:b/>
          <w:bCs/>
          <w:kern w:val="2"/>
          <w:sz w:val="21"/>
          <w:szCs w:val="21"/>
        </w:rPr>
      </w:pPr>
      <w:r>
        <w:rPr>
          <w:rFonts w:hint="eastAsia" w:ascii="楷体" w:hAnsi="楷体" w:eastAsia="楷体" w:cs="Times New Roman"/>
          <w:b/>
          <w:bCs/>
          <w:kern w:val="2"/>
          <w:sz w:val="21"/>
          <w:szCs w:val="21"/>
        </w:rPr>
        <w:t>甲方应保证提交的分账指令基于甲方与收款人存在完整、合法、真实的分账款交易合同，分账指令为基于此交易背景发起的支付指令，乙方有权要求甲方先行提供相关收付款人的交易合同，对于不具备完整性、合法性、真实性、不符合监管机构反洗钱方面的要求的交易指令，乙方有权不予以执行并且不承担违约责任。如因此类交易造成的乙方损失，乙方按本协议约定向甲方追偿。</w:t>
      </w:r>
    </w:p>
    <w:p>
      <w:pPr>
        <w:pStyle w:val="6"/>
        <w:spacing w:before="0" w:beforeAutospacing="0" w:after="0" w:afterAutospacing="0"/>
        <w:ind w:firstLine="422" w:firstLineChars="200"/>
        <w:jc w:val="both"/>
        <w:rPr>
          <w:rFonts w:ascii="楷体" w:hAnsi="楷体" w:eastAsia="楷体" w:cs="Times New Roman"/>
          <w:b/>
          <w:bCs/>
          <w:kern w:val="2"/>
          <w:sz w:val="21"/>
          <w:szCs w:val="21"/>
        </w:rPr>
      </w:pPr>
      <w:r>
        <w:rPr>
          <w:rFonts w:hint="eastAsia" w:ascii="楷体" w:hAnsi="楷体" w:eastAsia="楷体" w:cs="Times New Roman"/>
          <w:b/>
          <w:bCs/>
          <w:kern w:val="2"/>
          <w:sz w:val="21"/>
          <w:szCs w:val="21"/>
        </w:rPr>
        <w:t>乙方仅为甲方与收款人之间提供特定用途的资金分账功能，甲方与收款人之间可能发生的各种商务纠纷由甲方及其收款人自行解决。</w:t>
      </w:r>
    </w:p>
    <w:p>
      <w:pPr>
        <w:pStyle w:val="6"/>
        <w:spacing w:before="0" w:beforeAutospacing="0" w:after="0" w:afterAutospacing="0"/>
        <w:ind w:firstLine="422" w:firstLineChars="200"/>
        <w:jc w:val="both"/>
        <w:rPr>
          <w:rFonts w:ascii="楷体" w:hAnsi="楷体" w:eastAsia="楷体" w:cs="Times New Roman"/>
          <w:b/>
          <w:bCs/>
          <w:kern w:val="2"/>
          <w:sz w:val="21"/>
          <w:szCs w:val="21"/>
        </w:rPr>
      </w:pPr>
      <w:r>
        <w:rPr>
          <w:rFonts w:hint="eastAsia" w:ascii="楷体" w:hAnsi="楷体" w:eastAsia="楷体" w:cs="Times New Roman"/>
          <w:b/>
          <w:bCs/>
          <w:kern w:val="2"/>
          <w:sz w:val="21"/>
          <w:szCs w:val="21"/>
        </w:rPr>
        <w:t>甲方对本协议项下的分账款项用途的真实性、合法性负责，不得利用乙方提供的分账功能从事公款私存、套取现金、替代性汇款、贪污贿赂、逃税、洗钱等违法、违规活动。</w:t>
      </w:r>
    </w:p>
    <w:p>
      <w:pPr>
        <w:pStyle w:val="6"/>
        <w:spacing w:before="0" w:beforeAutospacing="0" w:after="0" w:afterAutospacing="0"/>
        <w:ind w:firstLine="422" w:firstLineChars="200"/>
        <w:jc w:val="both"/>
        <w:rPr>
          <w:rFonts w:ascii="楷体" w:hAnsi="楷体" w:eastAsia="楷体" w:cs="Times New Roman"/>
          <w:b/>
          <w:bCs/>
          <w:kern w:val="2"/>
          <w:sz w:val="21"/>
          <w:szCs w:val="21"/>
        </w:rPr>
      </w:pPr>
      <w:r>
        <w:rPr>
          <w:rFonts w:hint="eastAsia" w:ascii="楷体" w:hAnsi="楷体" w:eastAsia="楷体" w:cs="Times New Roman"/>
          <w:b/>
          <w:bCs/>
          <w:kern w:val="2"/>
          <w:sz w:val="21"/>
          <w:szCs w:val="21"/>
        </w:rPr>
        <w:t>甲方承诺通过乙方分账功能支付的分账款项仅限于以下用途：</w:t>
      </w:r>
    </w:p>
    <w:p>
      <w:pPr>
        <w:pStyle w:val="6"/>
        <w:spacing w:before="0" w:beforeAutospacing="0" w:after="0" w:afterAutospacing="0"/>
        <w:ind w:left="422" w:leftChars="200" w:hanging="2" w:hangingChars="1"/>
        <w:jc w:val="both"/>
        <w:rPr>
          <w:rFonts w:ascii="楷体" w:hAnsi="楷体" w:eastAsia="楷体" w:cs="Times New Roman"/>
          <w:b/>
          <w:bCs/>
          <w:kern w:val="2"/>
          <w:sz w:val="21"/>
          <w:szCs w:val="21"/>
        </w:rPr>
      </w:pPr>
      <w:permStart w:id="65" w:edGrp="everyone"/>
      <w:r>
        <w:rPr>
          <w:rFonts w:hint="eastAsia" w:ascii="楷体" w:hAnsi="楷体" w:eastAsia="楷体" w:cs="Times New Roman"/>
          <w:b/>
          <w:bCs/>
          <w:kern w:val="2"/>
          <w:sz w:val="21"/>
          <w:szCs w:val="21"/>
        </w:rPr>
        <w:sym w:font="Wingdings" w:char="F0A8"/>
      </w:r>
      <w:permEnd w:id="65"/>
      <w:r>
        <w:rPr>
          <w:rFonts w:hint="eastAsia" w:ascii="楷体" w:hAnsi="楷体" w:eastAsia="楷体" w:cs="Times New Roman"/>
          <w:b/>
          <w:bCs/>
          <w:kern w:val="2"/>
          <w:sz w:val="21"/>
          <w:szCs w:val="21"/>
        </w:rPr>
        <w:t xml:space="preserve">销售返利/返佣  </w:t>
      </w:r>
      <w:permStart w:id="66" w:edGrp="everyone"/>
      <w:r>
        <w:rPr>
          <w:rFonts w:hint="eastAsia" w:ascii="楷体" w:hAnsi="楷体" w:eastAsia="楷体" w:cs="Times New Roman"/>
          <w:b/>
          <w:bCs/>
          <w:kern w:val="2"/>
          <w:sz w:val="21"/>
          <w:szCs w:val="21"/>
        </w:rPr>
        <w:sym w:font="Wingdings" w:char="F0A8"/>
      </w:r>
      <w:permEnd w:id="66"/>
      <w:r>
        <w:rPr>
          <w:rFonts w:hint="eastAsia" w:ascii="楷体" w:hAnsi="楷体" w:eastAsia="楷体" w:cs="Times New Roman"/>
          <w:b/>
          <w:bCs/>
          <w:kern w:val="2"/>
          <w:sz w:val="21"/>
          <w:szCs w:val="21"/>
        </w:rPr>
        <w:t xml:space="preserve">劳务费/稿酬  </w:t>
      </w:r>
      <w:permStart w:id="67" w:edGrp="everyone"/>
      <w:r>
        <w:rPr>
          <w:rFonts w:hint="eastAsia" w:ascii="楷体" w:hAnsi="楷体" w:eastAsia="楷体" w:cs="Times New Roman"/>
          <w:b/>
          <w:bCs/>
          <w:kern w:val="2"/>
          <w:sz w:val="21"/>
          <w:szCs w:val="21"/>
        </w:rPr>
        <w:sym w:font="Wingdings" w:char="F0A8"/>
      </w:r>
      <w:permEnd w:id="67"/>
      <w:r>
        <w:rPr>
          <w:rFonts w:hint="eastAsia" w:ascii="楷体" w:hAnsi="楷体" w:eastAsia="楷体" w:cs="Times New Roman"/>
          <w:b/>
          <w:bCs/>
          <w:kern w:val="2"/>
          <w:sz w:val="21"/>
          <w:szCs w:val="21"/>
        </w:rPr>
        <w:t>其他（请注明）</w:t>
      </w:r>
      <w:permStart w:id="68" w:edGrp="everyone"/>
      <w:r>
        <w:rPr>
          <w:rFonts w:hint="eastAsia" w:ascii="楷体" w:hAnsi="楷体" w:eastAsia="楷体" w:cs="Times New Roman"/>
          <w:b/>
          <w:bCs/>
          <w:kern w:val="2"/>
          <w:sz w:val="21"/>
          <w:szCs w:val="21"/>
          <w:u w:val="single"/>
        </w:rPr>
        <w:t xml:space="preserve"> </w:t>
      </w:r>
      <w:r>
        <w:rPr>
          <w:rFonts w:ascii="楷体" w:hAnsi="楷体" w:eastAsia="楷体" w:cs="Times New Roman"/>
          <w:b/>
          <w:bCs/>
          <w:kern w:val="2"/>
          <w:sz w:val="21"/>
          <w:szCs w:val="21"/>
          <w:u w:val="single"/>
        </w:rPr>
        <w:t xml:space="preserve">      </w:t>
      </w:r>
      <w:permEnd w:id="68"/>
    </w:p>
    <w:p>
      <w:pPr>
        <w:pStyle w:val="6"/>
        <w:spacing w:before="0" w:beforeAutospacing="0" w:after="0" w:afterAutospacing="0"/>
        <w:ind w:firstLine="422" w:firstLineChars="200"/>
        <w:jc w:val="both"/>
        <w:rPr>
          <w:rFonts w:ascii="楷体" w:hAnsi="楷体" w:eastAsia="楷体" w:cs="Times New Roman"/>
          <w:b/>
          <w:bCs/>
          <w:kern w:val="2"/>
          <w:sz w:val="21"/>
          <w:szCs w:val="21"/>
        </w:rPr>
      </w:pPr>
      <w:r>
        <w:rPr>
          <w:rFonts w:hint="eastAsia" w:ascii="楷体" w:hAnsi="楷体" w:eastAsia="楷体" w:cs="Times New Roman"/>
          <w:b/>
          <w:bCs/>
          <w:kern w:val="2"/>
          <w:sz w:val="21"/>
          <w:szCs w:val="21"/>
        </w:rPr>
        <w:t>甲方应配合乙方反洗钱工作，根据乙方要求提供证明付款用途真实、合法的相关材料。</w:t>
      </w:r>
    </w:p>
    <w:p>
      <w:pPr>
        <w:pStyle w:val="6"/>
        <w:spacing w:before="0" w:beforeAutospacing="0" w:after="0" w:afterAutospacing="0"/>
        <w:ind w:firstLine="422" w:firstLineChars="200"/>
        <w:jc w:val="both"/>
        <w:rPr>
          <w:rFonts w:ascii="楷体" w:hAnsi="楷体" w:eastAsia="楷体" w:cs="Times New Roman"/>
          <w:b/>
          <w:bCs/>
          <w:kern w:val="2"/>
          <w:sz w:val="21"/>
          <w:szCs w:val="21"/>
        </w:rPr>
      </w:pPr>
      <w:r>
        <w:rPr>
          <w:rFonts w:hint="eastAsia" w:ascii="楷体" w:hAnsi="楷体" w:eastAsia="楷体" w:cs="Times New Roman"/>
          <w:b/>
          <w:bCs/>
          <w:kern w:val="2"/>
          <w:sz w:val="21"/>
          <w:szCs w:val="21"/>
        </w:rPr>
        <w:t>当甲方发生下列任何行为时，乙方有权向甲方提出改正，甲方拒不改正的，乙方有权终止本协议，并向甲方追偿相应的损失：</w:t>
      </w:r>
    </w:p>
    <w:p>
      <w:pPr>
        <w:pStyle w:val="12"/>
        <w:numPr>
          <w:ilvl w:val="0"/>
          <w:numId w:val="25"/>
        </w:numPr>
        <w:adjustRightInd w:val="0"/>
        <w:snapToGrid w:val="0"/>
        <w:ind w:left="422" w:hanging="422" w:hangingChars="201"/>
        <w:rPr>
          <w:rFonts w:ascii="楷体" w:hAnsi="楷体" w:eastAsia="楷体"/>
          <w:color w:val="000000"/>
          <w:szCs w:val="21"/>
        </w:rPr>
      </w:pPr>
      <w:r>
        <w:rPr>
          <w:rFonts w:hint="eastAsia" w:ascii="楷体" w:hAnsi="楷体" w:eastAsia="楷体"/>
          <w:color w:val="000000"/>
          <w:szCs w:val="21"/>
        </w:rPr>
        <w:t xml:space="preserve">利用乙方分账功能从事法律、法规明确禁止活动的； </w:t>
      </w:r>
    </w:p>
    <w:p>
      <w:pPr>
        <w:pStyle w:val="12"/>
        <w:numPr>
          <w:ilvl w:val="0"/>
          <w:numId w:val="25"/>
        </w:numPr>
        <w:adjustRightInd w:val="0"/>
        <w:snapToGrid w:val="0"/>
        <w:ind w:left="422" w:hanging="422" w:hangingChars="201"/>
        <w:rPr>
          <w:rFonts w:ascii="楷体" w:hAnsi="楷体" w:eastAsia="楷体"/>
          <w:color w:val="000000"/>
          <w:szCs w:val="21"/>
        </w:rPr>
      </w:pPr>
      <w:r>
        <w:rPr>
          <w:rFonts w:hint="eastAsia" w:ascii="楷体" w:hAnsi="楷体" w:eastAsia="楷体"/>
          <w:color w:val="000000"/>
          <w:szCs w:val="21"/>
        </w:rPr>
        <w:t>诋毁或损害乙方分账系统声誉的；</w:t>
      </w:r>
    </w:p>
    <w:p>
      <w:pPr>
        <w:pStyle w:val="12"/>
        <w:numPr>
          <w:ilvl w:val="0"/>
          <w:numId w:val="25"/>
        </w:numPr>
        <w:adjustRightInd w:val="0"/>
        <w:snapToGrid w:val="0"/>
        <w:ind w:left="422" w:hanging="422" w:hangingChars="201"/>
        <w:rPr>
          <w:rFonts w:ascii="楷体" w:hAnsi="楷体" w:eastAsia="楷体"/>
          <w:color w:val="000000"/>
          <w:szCs w:val="21"/>
        </w:rPr>
      </w:pPr>
      <w:r>
        <w:rPr>
          <w:rFonts w:hint="eastAsia" w:ascii="楷体" w:hAnsi="楷体" w:eastAsia="楷体"/>
          <w:color w:val="000000"/>
          <w:szCs w:val="21"/>
        </w:rPr>
        <w:t>分账款项的真实用途与本合同项下约定的用途不符的；</w:t>
      </w:r>
    </w:p>
    <w:p>
      <w:pPr>
        <w:pStyle w:val="6"/>
        <w:spacing w:before="0" w:beforeAutospacing="0" w:after="0" w:afterAutospacing="0"/>
        <w:ind w:firstLine="422" w:firstLineChars="200"/>
        <w:jc w:val="both"/>
        <w:rPr>
          <w:rFonts w:ascii="楷体" w:hAnsi="楷体" w:eastAsia="楷体"/>
          <w:b/>
          <w:bCs/>
          <w:color w:val="333333"/>
          <w:sz w:val="21"/>
          <w:szCs w:val="21"/>
          <w:shd w:val="clear" w:color="auto" w:fill="FFFFFF"/>
        </w:rPr>
      </w:pPr>
      <w:r>
        <w:rPr>
          <w:rFonts w:ascii="楷体" w:hAnsi="楷体" w:eastAsia="楷体" w:cs="Times New Roman"/>
          <w:b/>
          <w:bCs/>
          <w:kern w:val="2"/>
          <w:sz w:val="21"/>
          <w:szCs w:val="21"/>
        </w:rPr>
        <w:t>乙方有权根据对甲方的风险评估及交易管理需要，对甲方的分账比例和分账接收方数量进行限制和调整。乙方有权根据国家法律法规</w:t>
      </w:r>
      <w:r>
        <w:rPr>
          <w:rFonts w:hint="eastAsia" w:ascii="楷体" w:hAnsi="楷体" w:eastAsia="楷体" w:cs="Times New Roman"/>
          <w:b/>
          <w:bCs/>
          <w:kern w:val="2"/>
          <w:sz w:val="21"/>
          <w:szCs w:val="21"/>
        </w:rPr>
        <w:t>、</w:t>
      </w:r>
      <w:r>
        <w:rPr>
          <w:rFonts w:ascii="楷体" w:hAnsi="楷体" w:eastAsia="楷体" w:cs="Times New Roman"/>
          <w:b/>
          <w:bCs/>
          <w:kern w:val="2"/>
          <w:sz w:val="21"/>
          <w:szCs w:val="21"/>
        </w:rPr>
        <w:t>国家政策</w:t>
      </w:r>
      <w:r>
        <w:rPr>
          <w:rFonts w:hint="eastAsia" w:ascii="楷体" w:hAnsi="楷体" w:eastAsia="楷体" w:cs="Times New Roman"/>
          <w:b/>
          <w:bCs/>
          <w:kern w:val="2"/>
          <w:sz w:val="21"/>
          <w:szCs w:val="21"/>
        </w:rPr>
        <w:t>、</w:t>
      </w:r>
      <w:r>
        <w:rPr>
          <w:rFonts w:ascii="楷体" w:hAnsi="楷体" w:eastAsia="楷体" w:cs="Times New Roman"/>
          <w:b/>
          <w:bCs/>
          <w:kern w:val="2"/>
          <w:sz w:val="21"/>
          <w:szCs w:val="21"/>
        </w:rPr>
        <w:t>法令的规定</w:t>
      </w:r>
      <w:r>
        <w:rPr>
          <w:rFonts w:hint="eastAsia" w:ascii="楷体" w:hAnsi="楷体" w:eastAsia="楷体" w:cs="Times New Roman"/>
          <w:b/>
          <w:bCs/>
          <w:kern w:val="2"/>
          <w:sz w:val="21"/>
          <w:szCs w:val="21"/>
        </w:rPr>
        <w:t>及</w:t>
      </w:r>
      <w:r>
        <w:rPr>
          <w:rFonts w:ascii="楷体" w:hAnsi="楷体" w:eastAsia="楷体" w:cs="Times New Roman"/>
          <w:b/>
          <w:bCs/>
          <w:kern w:val="2"/>
          <w:sz w:val="21"/>
          <w:szCs w:val="21"/>
        </w:rPr>
        <w:t>自身需要调整分账功能并采取相应风控措施，同时有权基于风控管理要求，审核甲方使用分账功能的合法合规性，并要求甲方及时提供相关核实资料。</w:t>
      </w:r>
    </w:p>
    <w:p>
      <w:pPr>
        <w:pStyle w:val="6"/>
        <w:spacing w:before="0" w:beforeAutospacing="0" w:after="0" w:afterAutospacing="0"/>
        <w:ind w:firstLine="422" w:firstLineChars="200"/>
        <w:jc w:val="both"/>
        <w:rPr>
          <w:rFonts w:ascii="楷体" w:hAnsi="楷体" w:eastAsia="楷体" w:cs="Times New Roman"/>
          <w:b/>
          <w:bCs/>
          <w:kern w:val="2"/>
          <w:sz w:val="21"/>
          <w:szCs w:val="21"/>
          <w:u w:val="single"/>
        </w:rPr>
      </w:pPr>
      <w:r>
        <w:rPr>
          <w:rFonts w:ascii="楷体" w:hAnsi="楷体" w:eastAsia="楷体" w:cs="Times New Roman"/>
          <w:b/>
          <w:bCs/>
          <w:kern w:val="2"/>
          <w:sz w:val="21"/>
          <w:szCs w:val="21"/>
          <w:u w:val="single"/>
        </w:rPr>
        <w:t>甲方承诺</w:t>
      </w:r>
      <w:r>
        <w:rPr>
          <w:rFonts w:hint="eastAsia" w:ascii="楷体" w:hAnsi="楷体" w:eastAsia="楷体" w:cs="Times New Roman"/>
          <w:b/>
          <w:bCs/>
          <w:kern w:val="2"/>
          <w:sz w:val="21"/>
          <w:szCs w:val="21"/>
          <w:u w:val="single"/>
        </w:rPr>
        <w:t>，</w:t>
      </w:r>
      <w:r>
        <w:rPr>
          <w:rFonts w:ascii="楷体" w:hAnsi="楷体" w:eastAsia="楷体" w:cs="Times New Roman"/>
          <w:b/>
          <w:bCs/>
          <w:kern w:val="2"/>
          <w:sz w:val="21"/>
          <w:szCs w:val="21"/>
          <w:u w:val="single"/>
        </w:rPr>
        <w:t>本协议合作下</w:t>
      </w:r>
      <w:r>
        <w:rPr>
          <w:rFonts w:hint="eastAsia" w:ascii="楷体" w:hAnsi="楷体" w:eastAsia="楷体" w:cs="Times New Roman"/>
          <w:b/>
          <w:bCs/>
          <w:kern w:val="2"/>
          <w:sz w:val="21"/>
          <w:szCs w:val="21"/>
          <w:u w:val="single"/>
        </w:rPr>
        <w:t>，乙方有权根据风控政策配置</w:t>
      </w:r>
      <w:r>
        <w:rPr>
          <w:rFonts w:ascii="楷体" w:hAnsi="楷体" w:eastAsia="楷体" w:cs="Times New Roman"/>
          <w:b/>
          <w:bCs/>
          <w:kern w:val="2"/>
          <w:sz w:val="21"/>
          <w:szCs w:val="21"/>
          <w:u w:val="single"/>
        </w:rPr>
        <w:t>甲方的</w:t>
      </w:r>
      <w:r>
        <w:rPr>
          <w:rFonts w:hint="eastAsia" w:ascii="楷体" w:hAnsi="楷体" w:eastAsia="楷体" w:cs="Times New Roman"/>
          <w:b/>
          <w:bCs/>
          <w:kern w:val="2"/>
          <w:sz w:val="21"/>
          <w:szCs w:val="21"/>
          <w:u w:val="single"/>
        </w:rPr>
        <w:t>分账</w:t>
      </w:r>
      <w:r>
        <w:rPr>
          <w:rFonts w:ascii="楷体" w:hAnsi="楷体" w:eastAsia="楷体" w:cs="Times New Roman"/>
          <w:b/>
          <w:bCs/>
          <w:kern w:val="2"/>
          <w:sz w:val="21"/>
          <w:szCs w:val="21"/>
          <w:u w:val="single"/>
        </w:rPr>
        <w:t>比例区间</w:t>
      </w:r>
      <w:r>
        <w:rPr>
          <w:rFonts w:hint="eastAsia" w:ascii="楷体" w:hAnsi="楷体" w:eastAsia="楷体" w:cs="Times New Roman"/>
          <w:b/>
          <w:bCs/>
          <w:kern w:val="2"/>
          <w:sz w:val="21"/>
          <w:szCs w:val="21"/>
          <w:u w:val="single"/>
        </w:rPr>
        <w:t>，如发生甲方分账比例与</w:t>
      </w:r>
      <w:r>
        <w:rPr>
          <w:rFonts w:ascii="楷体" w:hAnsi="楷体" w:eastAsia="楷体" w:cs="Times New Roman"/>
          <w:b/>
          <w:bCs/>
          <w:kern w:val="2"/>
          <w:sz w:val="21"/>
          <w:szCs w:val="21"/>
          <w:u w:val="single"/>
        </w:rPr>
        <w:t>乙方风控配置的分账比例区间不符</w:t>
      </w:r>
      <w:r>
        <w:rPr>
          <w:rFonts w:hint="eastAsia" w:ascii="楷体" w:hAnsi="楷体" w:eastAsia="楷体" w:cs="Times New Roman"/>
          <w:b/>
          <w:bCs/>
          <w:kern w:val="2"/>
          <w:sz w:val="21"/>
          <w:szCs w:val="21"/>
          <w:u w:val="single"/>
        </w:rPr>
        <w:t>，乙方有权要求</w:t>
      </w:r>
      <w:r>
        <w:rPr>
          <w:rFonts w:ascii="楷体" w:hAnsi="楷体" w:eastAsia="楷体" w:cs="Times New Roman"/>
          <w:b/>
          <w:bCs/>
          <w:kern w:val="2"/>
          <w:sz w:val="21"/>
          <w:szCs w:val="21"/>
          <w:u w:val="single"/>
        </w:rPr>
        <w:t>甲方配合乙方的风控调查</w:t>
      </w:r>
      <w:r>
        <w:rPr>
          <w:rFonts w:hint="eastAsia" w:ascii="楷体" w:hAnsi="楷体" w:eastAsia="楷体" w:cs="Times New Roman"/>
          <w:b/>
          <w:bCs/>
          <w:kern w:val="2"/>
          <w:sz w:val="21"/>
          <w:szCs w:val="21"/>
          <w:u w:val="single"/>
        </w:rPr>
        <w:t>、</w:t>
      </w:r>
      <w:r>
        <w:rPr>
          <w:rFonts w:ascii="楷体" w:hAnsi="楷体" w:eastAsia="楷体" w:cs="Times New Roman"/>
          <w:b/>
          <w:bCs/>
          <w:kern w:val="2"/>
          <w:sz w:val="21"/>
          <w:szCs w:val="21"/>
          <w:u w:val="single"/>
        </w:rPr>
        <w:t>出具合理性说明等</w:t>
      </w:r>
      <w:r>
        <w:rPr>
          <w:rFonts w:hint="eastAsia" w:ascii="楷体" w:hAnsi="楷体" w:eastAsia="楷体" w:cs="Times New Roman"/>
          <w:b/>
          <w:bCs/>
          <w:kern w:val="2"/>
          <w:sz w:val="21"/>
          <w:szCs w:val="21"/>
          <w:u w:val="single"/>
        </w:rPr>
        <w:t>，</w:t>
      </w:r>
      <w:r>
        <w:rPr>
          <w:rFonts w:ascii="楷体" w:hAnsi="楷体" w:eastAsia="楷体" w:cs="Times New Roman"/>
          <w:b/>
          <w:bCs/>
          <w:kern w:val="2"/>
          <w:sz w:val="21"/>
          <w:szCs w:val="21"/>
          <w:u w:val="single"/>
        </w:rPr>
        <w:t>且乙方有权对甲方采取相应风控措施</w:t>
      </w:r>
      <w:r>
        <w:rPr>
          <w:rFonts w:hint="eastAsia" w:ascii="楷体" w:hAnsi="楷体" w:eastAsia="楷体" w:cs="Times New Roman"/>
          <w:b/>
          <w:bCs/>
          <w:kern w:val="2"/>
          <w:sz w:val="21"/>
          <w:szCs w:val="21"/>
          <w:u w:val="single"/>
        </w:rPr>
        <w:t>，</w:t>
      </w:r>
      <w:r>
        <w:rPr>
          <w:rFonts w:ascii="楷体" w:hAnsi="楷体" w:eastAsia="楷体" w:cs="Times New Roman"/>
          <w:b/>
          <w:bCs/>
          <w:kern w:val="2"/>
          <w:sz w:val="21"/>
          <w:szCs w:val="21"/>
          <w:u w:val="single"/>
        </w:rPr>
        <w:t>包括但不限于限制交易额度</w:t>
      </w:r>
      <w:r>
        <w:rPr>
          <w:rFonts w:hint="eastAsia" w:ascii="楷体" w:hAnsi="楷体" w:eastAsia="楷体" w:cs="Times New Roman"/>
          <w:b/>
          <w:bCs/>
          <w:kern w:val="2"/>
          <w:sz w:val="21"/>
          <w:szCs w:val="21"/>
          <w:u w:val="single"/>
        </w:rPr>
        <w:t>、</w:t>
      </w:r>
      <w:r>
        <w:rPr>
          <w:rFonts w:ascii="楷体" w:hAnsi="楷体" w:eastAsia="楷体" w:cs="Times New Roman"/>
          <w:b/>
          <w:bCs/>
          <w:kern w:val="2"/>
          <w:sz w:val="21"/>
          <w:szCs w:val="21"/>
          <w:u w:val="single"/>
        </w:rPr>
        <w:t>延迟结算</w:t>
      </w:r>
      <w:r>
        <w:rPr>
          <w:rFonts w:hint="eastAsia" w:ascii="楷体" w:hAnsi="楷体" w:eastAsia="楷体" w:cs="Times New Roman"/>
          <w:b/>
          <w:bCs/>
          <w:kern w:val="2"/>
          <w:sz w:val="21"/>
          <w:szCs w:val="21"/>
          <w:u w:val="single"/>
        </w:rPr>
        <w:t>、</w:t>
      </w:r>
      <w:r>
        <w:rPr>
          <w:rFonts w:ascii="楷体" w:hAnsi="楷体" w:eastAsia="楷体" w:cs="Times New Roman"/>
          <w:b/>
          <w:bCs/>
          <w:kern w:val="2"/>
          <w:sz w:val="21"/>
          <w:szCs w:val="21"/>
          <w:u w:val="single"/>
        </w:rPr>
        <w:t>暂停支付服务等</w:t>
      </w:r>
      <w:r>
        <w:rPr>
          <w:rFonts w:hint="eastAsia" w:ascii="楷体" w:hAnsi="楷体" w:eastAsia="楷体" w:cs="Times New Roman"/>
          <w:b/>
          <w:bCs/>
          <w:kern w:val="2"/>
          <w:sz w:val="21"/>
          <w:szCs w:val="21"/>
          <w:u w:val="single"/>
        </w:rPr>
        <w:t>。</w:t>
      </w:r>
    </w:p>
    <w:p>
      <w:pPr>
        <w:pStyle w:val="6"/>
        <w:spacing w:before="0" w:beforeAutospacing="0" w:after="0" w:afterAutospacing="0"/>
        <w:ind w:firstLine="422" w:firstLineChars="200"/>
        <w:jc w:val="both"/>
        <w:rPr>
          <w:rFonts w:ascii="楷体" w:hAnsi="楷体" w:eastAsia="楷体" w:cs="Times New Roman"/>
          <w:b/>
          <w:bCs/>
          <w:kern w:val="2"/>
          <w:sz w:val="21"/>
          <w:szCs w:val="21"/>
        </w:rPr>
      </w:pPr>
      <w:r>
        <w:rPr>
          <w:rFonts w:ascii="楷体" w:hAnsi="楷体" w:eastAsia="楷体" w:cs="Times New Roman"/>
          <w:b/>
          <w:bCs/>
          <w:kern w:val="2"/>
          <w:sz w:val="21"/>
          <w:szCs w:val="21"/>
        </w:rPr>
        <w:t>甲方确认</w:t>
      </w:r>
      <w:r>
        <w:rPr>
          <w:rFonts w:hint="eastAsia" w:ascii="楷体" w:hAnsi="楷体" w:eastAsia="楷体" w:cs="Times New Roman"/>
          <w:b/>
          <w:bCs/>
          <w:kern w:val="2"/>
          <w:sz w:val="21"/>
          <w:szCs w:val="21"/>
        </w:rPr>
        <w:t>，</w:t>
      </w:r>
      <w:r>
        <w:rPr>
          <w:rFonts w:ascii="楷体" w:hAnsi="楷体" w:eastAsia="楷体" w:cs="Times New Roman"/>
          <w:b/>
          <w:bCs/>
          <w:kern w:val="2"/>
          <w:sz w:val="21"/>
          <w:szCs w:val="21"/>
        </w:rPr>
        <w:t>在使用分账功能时</w:t>
      </w:r>
      <w:r>
        <w:rPr>
          <w:rFonts w:hint="eastAsia" w:ascii="楷体" w:hAnsi="楷体" w:eastAsia="楷体" w:cs="Times New Roman"/>
          <w:b/>
          <w:bCs/>
          <w:kern w:val="2"/>
          <w:sz w:val="21"/>
          <w:szCs w:val="21"/>
        </w:rPr>
        <w:t>，</w:t>
      </w:r>
      <w:r>
        <w:rPr>
          <w:rFonts w:ascii="楷体" w:hAnsi="楷体" w:eastAsia="楷体" w:cs="Times New Roman"/>
          <w:b/>
          <w:bCs/>
          <w:kern w:val="2"/>
          <w:sz w:val="21"/>
          <w:szCs w:val="21"/>
        </w:rPr>
        <w:t>若涉及纳税或代扣代缴税款的义务，由甲方自行承担该义务。</w:t>
      </w:r>
    </w:p>
    <w:p>
      <w:pPr>
        <w:pStyle w:val="6"/>
        <w:spacing w:before="0" w:beforeAutospacing="0" w:after="0" w:afterAutospacing="0"/>
        <w:ind w:firstLine="422" w:firstLineChars="200"/>
        <w:jc w:val="both"/>
        <w:rPr>
          <w:rFonts w:ascii="楷体" w:hAnsi="楷体" w:eastAsia="楷体" w:cs="Times New Roman"/>
          <w:b/>
          <w:bCs/>
          <w:kern w:val="2"/>
          <w:sz w:val="21"/>
          <w:szCs w:val="21"/>
        </w:rPr>
      </w:pPr>
      <w:r>
        <w:rPr>
          <w:rFonts w:ascii="楷体" w:hAnsi="楷体" w:eastAsia="楷体" w:cs="Times New Roman"/>
          <w:b/>
          <w:bCs/>
          <w:kern w:val="2"/>
          <w:sz w:val="21"/>
          <w:szCs w:val="21"/>
        </w:rPr>
        <w:t>甲方确认</w:t>
      </w:r>
      <w:r>
        <w:rPr>
          <w:rFonts w:hint="eastAsia" w:ascii="楷体" w:hAnsi="楷体" w:eastAsia="楷体" w:cs="Times New Roman"/>
          <w:b/>
          <w:bCs/>
          <w:kern w:val="2"/>
          <w:sz w:val="21"/>
          <w:szCs w:val="21"/>
        </w:rPr>
        <w:t>，乙方</w:t>
      </w:r>
      <w:r>
        <w:rPr>
          <w:rFonts w:ascii="楷体" w:hAnsi="楷体" w:eastAsia="楷体" w:cs="Times New Roman"/>
          <w:b/>
          <w:bCs/>
          <w:kern w:val="2"/>
          <w:sz w:val="21"/>
          <w:szCs w:val="21"/>
        </w:rPr>
        <w:t>只是执行甲方或甲方授权的分账发起方的资金划付和扣划指令，无义务向甲方核实该划付和扣划指令的合法有效性，也无义务向分账接收方验证该划付和扣划指令的有效性。若因甲方使用分账功能导致甲方或分账接收方遭受损失的，由甲方和分账接收方协商解决，与乙方无关。</w:t>
      </w:r>
    </w:p>
    <w:p>
      <w:pPr>
        <w:pStyle w:val="6"/>
        <w:spacing w:before="0" w:beforeAutospacing="0" w:after="0" w:afterAutospacing="0"/>
        <w:ind w:firstLine="422" w:firstLineChars="200"/>
        <w:jc w:val="both"/>
        <w:rPr>
          <w:rFonts w:ascii="楷体" w:hAnsi="楷体" w:eastAsia="楷体" w:cs="Times New Roman"/>
          <w:b/>
          <w:bCs/>
          <w:kern w:val="2"/>
          <w:sz w:val="21"/>
          <w:szCs w:val="21"/>
        </w:rPr>
      </w:pPr>
      <w:r>
        <w:rPr>
          <w:rFonts w:hint="eastAsia" w:ascii="楷体" w:hAnsi="楷体" w:eastAsia="楷体" w:cs="Times New Roman"/>
          <w:b/>
          <w:bCs/>
          <w:kern w:val="2"/>
          <w:sz w:val="21"/>
          <w:szCs w:val="21"/>
        </w:rPr>
        <w:t>因甲方违反本条上述约定的，乙方有权暂停向甲方提供本协议项下服务，情节严重的，乙方有权单方解除协议并要求甲方承担赔偿责任。</w:t>
      </w:r>
    </w:p>
    <w:p>
      <w:pPr>
        <w:pStyle w:val="12"/>
        <w:numPr>
          <w:ilvl w:val="0"/>
          <w:numId w:val="24"/>
        </w:numPr>
        <w:tabs>
          <w:tab w:val="left" w:pos="720"/>
        </w:tabs>
        <w:ind w:left="420" w:hanging="420" w:firstLineChars="0"/>
        <w:rPr>
          <w:rFonts w:ascii="楷体" w:hAnsi="楷体" w:eastAsia="楷体"/>
          <w:b/>
          <w:szCs w:val="21"/>
        </w:rPr>
      </w:pPr>
      <w:r>
        <w:rPr>
          <w:rFonts w:hint="eastAsia" w:ascii="楷体" w:hAnsi="楷体" w:eastAsia="楷体"/>
          <w:b/>
          <w:szCs w:val="21"/>
        </w:rPr>
        <w:t>取现：</w:t>
      </w:r>
      <w:r>
        <w:rPr>
          <w:rFonts w:hint="eastAsia" w:ascii="楷体" w:hAnsi="楷体" w:eastAsia="楷体"/>
          <w:szCs w:val="21"/>
        </w:rPr>
        <w:t>甲方可将专属账户记录的余额结算资金转出至经乙方身份核验绑定的同名银行卡账户（本协议项下仅限借记卡），该银行卡账户应为甲方合法持有。</w:t>
      </w:r>
      <w:r>
        <w:rPr>
          <w:rFonts w:hint="eastAsia" w:ascii="楷体" w:hAnsi="楷体" w:eastAsia="楷体"/>
          <w:color w:val="000000"/>
          <w:szCs w:val="21"/>
        </w:rPr>
        <w:t>甲方应妥善保存银行卡账户、预留手机号等信息，自行承担因自身对账号和密码保管及使用不当而造成的一切损失。</w:t>
      </w:r>
      <w:r>
        <w:rPr>
          <w:rFonts w:hint="eastAsia" w:ascii="楷体" w:hAnsi="楷体" w:eastAsia="楷体"/>
          <w:szCs w:val="21"/>
        </w:rPr>
        <w:t>如甲方存在下述情形的，乙方有权拒绝提供T日或D日取现服务：</w:t>
      </w:r>
    </w:p>
    <w:p>
      <w:pPr>
        <w:ind w:firstLine="420" w:firstLineChars="200"/>
        <w:rPr>
          <w:rFonts w:ascii="楷体" w:hAnsi="楷体" w:eastAsia="楷体"/>
          <w:szCs w:val="21"/>
        </w:rPr>
      </w:pPr>
      <w:r>
        <w:rPr>
          <w:rFonts w:hint="eastAsia" w:ascii="楷体" w:hAnsi="楷体" w:eastAsia="楷体"/>
          <w:szCs w:val="21"/>
        </w:rPr>
        <w:t>（1）双方签署本协议不满90日的；</w:t>
      </w:r>
    </w:p>
    <w:p>
      <w:pPr>
        <w:ind w:firstLine="420" w:firstLineChars="200"/>
        <w:rPr>
          <w:rFonts w:ascii="楷体" w:hAnsi="楷体" w:eastAsia="楷体"/>
          <w:szCs w:val="21"/>
        </w:rPr>
      </w:pPr>
      <w:r>
        <w:rPr>
          <w:rFonts w:hint="eastAsia" w:ascii="楷体" w:hAnsi="楷体" w:eastAsia="楷体"/>
          <w:szCs w:val="21"/>
        </w:rPr>
        <w:t>（2）本协议有效期内，连续正常交易不满30日的。</w:t>
      </w:r>
    </w:p>
    <w:p>
      <w:pPr>
        <w:pStyle w:val="12"/>
        <w:numPr>
          <w:ilvl w:val="0"/>
          <w:numId w:val="24"/>
        </w:numPr>
        <w:tabs>
          <w:tab w:val="left" w:pos="720"/>
        </w:tabs>
        <w:ind w:left="420" w:hanging="420" w:firstLineChars="0"/>
        <w:rPr>
          <w:rFonts w:ascii="楷体" w:hAnsi="楷体" w:eastAsia="楷体"/>
          <w:szCs w:val="21"/>
        </w:rPr>
      </w:pPr>
      <w:r>
        <w:rPr>
          <w:rFonts w:hint="eastAsia" w:ascii="楷体" w:hAnsi="楷体" w:eastAsia="楷体"/>
          <w:szCs w:val="21"/>
        </w:rPr>
        <w:t>乙方有权依据自身</w:t>
      </w:r>
      <w:r>
        <w:rPr>
          <w:rFonts w:ascii="楷体" w:hAnsi="楷体" w:eastAsia="楷体"/>
          <w:szCs w:val="21"/>
        </w:rPr>
        <w:t>或清算机构或合作机构</w:t>
      </w:r>
      <w:r>
        <w:rPr>
          <w:rFonts w:hint="eastAsia" w:ascii="楷体" w:hAnsi="楷体" w:eastAsia="楷体"/>
          <w:szCs w:val="21"/>
        </w:rPr>
        <w:t>或</w:t>
      </w:r>
      <w:r>
        <w:rPr>
          <w:rFonts w:ascii="楷体" w:hAnsi="楷体" w:eastAsia="楷体"/>
          <w:szCs w:val="21"/>
        </w:rPr>
        <w:t>监管机构的</w:t>
      </w:r>
      <w:r>
        <w:rPr>
          <w:rFonts w:hint="eastAsia" w:ascii="楷体" w:hAnsi="楷体" w:eastAsia="楷体"/>
          <w:szCs w:val="21"/>
        </w:rPr>
        <w:t>风险控制要求，对条码支付的费率及单笔、单日限额等进行调整。</w:t>
      </w:r>
    </w:p>
    <w:p>
      <w:pPr>
        <w:pStyle w:val="12"/>
        <w:numPr>
          <w:ilvl w:val="0"/>
          <w:numId w:val="24"/>
        </w:numPr>
        <w:tabs>
          <w:tab w:val="left" w:pos="720"/>
        </w:tabs>
        <w:ind w:left="420" w:hanging="420" w:firstLineChars="0"/>
        <w:rPr>
          <w:rFonts w:ascii="楷体" w:hAnsi="楷体" w:eastAsia="楷体"/>
          <w:szCs w:val="21"/>
        </w:rPr>
      </w:pPr>
      <w:r>
        <w:rPr>
          <w:rFonts w:hint="eastAsia" w:ascii="楷体" w:hAnsi="楷体" w:eastAsia="楷体"/>
          <w:szCs w:val="21"/>
        </w:rPr>
        <w:t>对于发卡行或清算</w:t>
      </w:r>
      <w:r>
        <w:rPr>
          <w:rFonts w:ascii="楷体" w:hAnsi="楷体" w:eastAsia="楷体"/>
          <w:szCs w:val="21"/>
        </w:rPr>
        <w:t>机构</w:t>
      </w:r>
      <w:r>
        <w:rPr>
          <w:rFonts w:hint="eastAsia" w:ascii="楷体" w:hAnsi="楷体" w:eastAsia="楷体"/>
          <w:szCs w:val="21"/>
        </w:rPr>
        <w:t>的合理拒付（包括但不限于客户否认交易等）的交易风险和由此产生的损失由造成相关损失的责任方承担。</w:t>
      </w:r>
    </w:p>
    <w:p>
      <w:pPr>
        <w:pStyle w:val="12"/>
        <w:numPr>
          <w:ilvl w:val="0"/>
          <w:numId w:val="17"/>
        </w:numPr>
        <w:ind w:firstLineChars="0"/>
        <w:rPr>
          <w:rFonts w:ascii="楷体" w:hAnsi="楷体" w:eastAsia="楷体"/>
          <w:b/>
          <w:szCs w:val="21"/>
        </w:rPr>
      </w:pPr>
      <w:r>
        <w:rPr>
          <w:rFonts w:hint="eastAsia" w:ascii="楷体" w:hAnsi="楷体" w:eastAsia="楷体"/>
          <w:b/>
          <w:szCs w:val="21"/>
        </w:rPr>
        <w:t>特别约定</w:t>
      </w:r>
    </w:p>
    <w:p>
      <w:pPr>
        <w:pStyle w:val="12"/>
        <w:numPr>
          <w:ilvl w:val="0"/>
          <w:numId w:val="26"/>
        </w:numPr>
        <w:adjustRightInd w:val="0"/>
        <w:snapToGrid w:val="0"/>
        <w:ind w:firstLineChars="0"/>
        <w:rPr>
          <w:rFonts w:ascii="楷体" w:hAnsi="楷体" w:eastAsia="楷体"/>
          <w:b/>
          <w:szCs w:val="21"/>
        </w:rPr>
      </w:pPr>
      <w:r>
        <w:rPr>
          <w:rFonts w:hint="eastAsia" w:ascii="楷体" w:hAnsi="楷体" w:eastAsia="楷体"/>
          <w:b/>
          <w:szCs w:val="21"/>
        </w:rPr>
        <w:t>因甲方违反本条上述约定的，乙方有权暂停向甲方提供本协议项下服务，情节严重的，乙方有权单方解除协议并要求甲方承担赔偿责任。</w:t>
      </w:r>
    </w:p>
    <w:p>
      <w:pPr>
        <w:pStyle w:val="12"/>
        <w:numPr>
          <w:ilvl w:val="0"/>
          <w:numId w:val="26"/>
        </w:numPr>
        <w:adjustRightInd w:val="0"/>
        <w:snapToGrid w:val="0"/>
        <w:ind w:firstLineChars="0"/>
        <w:rPr>
          <w:rFonts w:ascii="楷体" w:hAnsi="楷体" w:eastAsia="楷体"/>
          <w:b/>
          <w:szCs w:val="21"/>
        </w:rPr>
      </w:pPr>
      <w:r>
        <w:rPr>
          <w:rFonts w:hint="eastAsia" w:ascii="楷体" w:hAnsi="楷体" w:eastAsia="楷体"/>
          <w:b/>
          <w:szCs w:val="21"/>
        </w:rPr>
        <w:t>对于发卡行或清算</w:t>
      </w:r>
      <w:r>
        <w:rPr>
          <w:rFonts w:ascii="楷体" w:hAnsi="楷体" w:eastAsia="楷体"/>
          <w:b/>
          <w:szCs w:val="21"/>
        </w:rPr>
        <w:t>机构</w:t>
      </w:r>
      <w:r>
        <w:rPr>
          <w:rFonts w:hint="eastAsia" w:ascii="楷体" w:hAnsi="楷体" w:eastAsia="楷体"/>
          <w:b/>
          <w:szCs w:val="21"/>
        </w:rPr>
        <w:t>的合理拒付（包括但不限于客户否认交易等）的交易风险和由此产生的损失由造成相关损失的责任方承担。</w:t>
      </w:r>
    </w:p>
    <w:p>
      <w:pPr>
        <w:adjustRightInd w:val="0"/>
        <w:snapToGrid w:val="0"/>
        <w:rPr>
          <w:rFonts w:ascii="楷体" w:hAnsi="楷体" w:eastAsia="楷体"/>
          <w:szCs w:val="21"/>
        </w:rPr>
      </w:pPr>
    </w:p>
    <w:p>
      <w:pPr>
        <w:pStyle w:val="12"/>
        <w:numPr>
          <w:ilvl w:val="0"/>
          <w:numId w:val="1"/>
        </w:numPr>
        <w:ind w:firstLineChars="0"/>
        <w:jc w:val="center"/>
        <w:rPr>
          <w:rFonts w:ascii="楷体" w:hAnsi="楷体" w:eastAsia="楷体"/>
          <w:b/>
          <w:bCs/>
          <w:szCs w:val="21"/>
        </w:rPr>
      </w:pPr>
      <w:r>
        <w:rPr>
          <w:rFonts w:hint="eastAsia" w:ascii="楷体" w:hAnsi="楷体" w:eastAsia="楷体"/>
          <w:b/>
          <w:bCs/>
          <w:szCs w:val="21"/>
        </w:rPr>
        <w:t>专属账户</w:t>
      </w:r>
    </w:p>
    <w:p>
      <w:pPr>
        <w:pStyle w:val="12"/>
        <w:numPr>
          <w:ilvl w:val="1"/>
          <w:numId w:val="1"/>
        </w:numPr>
        <w:ind w:firstLineChars="0"/>
        <w:rPr>
          <w:rFonts w:ascii="楷体" w:hAnsi="楷体" w:eastAsia="楷体"/>
          <w:b/>
          <w:bCs/>
          <w:szCs w:val="21"/>
        </w:rPr>
      </w:pPr>
      <w:r>
        <w:rPr>
          <w:rFonts w:hint="eastAsia" w:ascii="楷体" w:hAnsi="楷体" w:eastAsia="楷体"/>
          <w:b/>
          <w:bCs/>
          <w:szCs w:val="21"/>
        </w:rPr>
        <w:t>专属账户的开立</w:t>
      </w:r>
    </w:p>
    <w:p>
      <w:pPr>
        <w:adjustRightInd w:val="0"/>
        <w:snapToGrid w:val="0"/>
        <w:ind w:firstLine="420" w:firstLineChars="200"/>
        <w:rPr>
          <w:rFonts w:ascii="楷体" w:hAnsi="楷体" w:eastAsia="楷体"/>
          <w:szCs w:val="21"/>
        </w:rPr>
      </w:pPr>
      <w:r>
        <w:rPr>
          <w:rFonts w:hint="eastAsia" w:ascii="楷体" w:hAnsi="楷体" w:eastAsia="楷体"/>
          <w:szCs w:val="21"/>
        </w:rPr>
        <w:t>乙方根据甲方需要及《非银行支付机构网络支付业务管理办法》（下称“管理办法”）相关要求，为甲方开立专属账户，并提供相关必要的信息查询、技术支持等服务，具体以乙方实际提供的为准，主要流程包括：</w:t>
      </w:r>
    </w:p>
    <w:p>
      <w:pPr>
        <w:pStyle w:val="12"/>
        <w:numPr>
          <w:ilvl w:val="0"/>
          <w:numId w:val="27"/>
        </w:numPr>
        <w:adjustRightInd w:val="0"/>
        <w:snapToGrid w:val="0"/>
        <w:ind w:firstLineChars="0"/>
        <w:rPr>
          <w:rFonts w:ascii="楷体" w:hAnsi="楷体" w:eastAsia="楷体"/>
          <w:szCs w:val="21"/>
        </w:rPr>
      </w:pPr>
      <w:r>
        <w:rPr>
          <w:rFonts w:hint="eastAsia" w:ascii="楷体" w:hAnsi="楷体" w:eastAsia="楷体"/>
          <w:szCs w:val="21"/>
        </w:rPr>
        <w:t>甲方应当严格遵守国家法律、法规及有关部门的规定，具备从事相关业务的资质条件，依法办理相应行政许可或备案。甲方应向乙方如实提供企业资质、品牌介绍、业务情况说明及相关法律证明，并授权乙方有权基于业务管理之需要对甲方资信状况进行调查与核实。</w:t>
      </w:r>
    </w:p>
    <w:p>
      <w:pPr>
        <w:pStyle w:val="12"/>
        <w:numPr>
          <w:ilvl w:val="0"/>
          <w:numId w:val="27"/>
        </w:numPr>
        <w:adjustRightInd w:val="0"/>
        <w:snapToGrid w:val="0"/>
        <w:ind w:firstLineChars="0"/>
        <w:rPr>
          <w:rFonts w:ascii="楷体" w:hAnsi="楷体" w:eastAsia="楷体"/>
          <w:b/>
          <w:szCs w:val="21"/>
        </w:rPr>
      </w:pPr>
      <w:r>
        <w:rPr>
          <w:rFonts w:ascii="楷体" w:hAnsi="楷体" w:eastAsia="楷体"/>
          <w:b/>
          <w:szCs w:val="21"/>
        </w:rPr>
        <w:t>甲方应保证所提交资料的准确性、真实性、完整性、合法性，如因资料存在虚假、不准确、遗漏而造成乙方损失的（包括但不限于监管机构处罚等），由甲方承担全部赔偿责任。如上述信息发生变更，包括但不限于合作主体、企业名称、法定代表人、业务对接人等，应提前</w:t>
      </w:r>
      <w:r>
        <w:rPr>
          <w:rFonts w:ascii="楷体" w:hAnsi="楷体" w:eastAsia="楷体"/>
          <w:b/>
          <w:szCs w:val="21"/>
          <w:u w:val="single"/>
        </w:rPr>
        <w:t>5</w:t>
      </w:r>
      <w:r>
        <w:rPr>
          <w:rFonts w:ascii="楷体" w:hAnsi="楷体" w:eastAsia="楷体"/>
          <w:b/>
          <w:szCs w:val="21"/>
        </w:rPr>
        <w:t>个工作日书面通知乙方，依据乙方要求配合完成变更确认手续并提供相关变更证明。</w:t>
      </w:r>
    </w:p>
    <w:p>
      <w:pPr>
        <w:pStyle w:val="12"/>
        <w:numPr>
          <w:ilvl w:val="0"/>
          <w:numId w:val="27"/>
        </w:numPr>
        <w:ind w:firstLineChars="0"/>
        <w:rPr>
          <w:rFonts w:ascii="楷体" w:hAnsi="楷体" w:eastAsia="楷体"/>
          <w:szCs w:val="21"/>
        </w:rPr>
      </w:pPr>
      <w:r>
        <w:rPr>
          <w:rFonts w:hint="eastAsia" w:ascii="楷体" w:hAnsi="楷体" w:eastAsia="楷体"/>
          <w:szCs w:val="21"/>
        </w:rPr>
        <w:t>乙方按照实名制管理要求，登记并采取有效措施验证甲方身份信息，按照规定核对甲方现时有效的身份证件，包括但不限于营业执照、事业单位法人证书、税务登记证、组织机构代码证、法定代表人身份证等，并留存相应复印件或者影印件，建立甲方唯一识别编码，确保有效核实甲方身份和真实意愿后，为其开立专属账户。</w:t>
      </w:r>
    </w:p>
    <w:p>
      <w:pPr>
        <w:pStyle w:val="12"/>
        <w:numPr>
          <w:ilvl w:val="0"/>
          <w:numId w:val="27"/>
        </w:numPr>
        <w:ind w:firstLineChars="0"/>
        <w:rPr>
          <w:rFonts w:ascii="楷体" w:hAnsi="楷体" w:eastAsia="楷体"/>
          <w:b/>
          <w:szCs w:val="21"/>
        </w:rPr>
      </w:pPr>
      <w:r>
        <w:rPr>
          <w:rFonts w:hint="eastAsia" w:ascii="楷体" w:hAnsi="楷体" w:eastAsia="楷体"/>
          <w:b/>
          <w:szCs w:val="21"/>
        </w:rPr>
        <w:t>甲方知悉，如甲方为从事电子商务经营活动、不具备工商登记注册条件且相关法律法规允许不进行工商登记注册的个人，并且不符合《管理办法》关于支付机构参照单位客户管理的个人卖家的条件要求，乙方不为甲方开立本协议项下专属账户，且有权单方解除本协议。</w:t>
      </w:r>
    </w:p>
    <w:p>
      <w:pPr>
        <w:pStyle w:val="12"/>
        <w:numPr>
          <w:ilvl w:val="0"/>
          <w:numId w:val="27"/>
        </w:numPr>
        <w:ind w:firstLineChars="0"/>
        <w:rPr>
          <w:rFonts w:ascii="楷体" w:hAnsi="楷体" w:eastAsia="楷体"/>
          <w:b/>
          <w:szCs w:val="21"/>
        </w:rPr>
      </w:pPr>
      <w:r>
        <w:rPr>
          <w:rFonts w:ascii="楷体" w:hAnsi="楷体" w:eastAsia="楷体"/>
          <w:b/>
          <w:szCs w:val="21"/>
        </w:rPr>
        <w:t>甲方知悉</w:t>
      </w:r>
      <w:r>
        <w:rPr>
          <w:rFonts w:hint="eastAsia" w:ascii="楷体" w:hAnsi="楷体" w:eastAsia="楷体"/>
          <w:b/>
          <w:szCs w:val="21"/>
        </w:rPr>
        <w:t>：若</w:t>
      </w:r>
      <w:r>
        <w:rPr>
          <w:rFonts w:ascii="楷体" w:hAnsi="楷体" w:eastAsia="楷体"/>
          <w:b/>
          <w:szCs w:val="21"/>
        </w:rPr>
        <w:t>乙方和乙方合作金融机构共同为甲方提供专属账户服务</w:t>
      </w:r>
      <w:r>
        <w:rPr>
          <w:rFonts w:hint="eastAsia" w:ascii="楷体" w:hAnsi="楷体" w:eastAsia="楷体"/>
          <w:b/>
          <w:szCs w:val="21"/>
        </w:rPr>
        <w:t>，</w:t>
      </w:r>
      <w:r>
        <w:rPr>
          <w:rFonts w:ascii="楷体" w:hAnsi="楷体" w:eastAsia="楷体"/>
          <w:b/>
          <w:szCs w:val="21"/>
        </w:rPr>
        <w:t>甲方应与乙方合作金融机构签署相应协议</w:t>
      </w:r>
      <w:r>
        <w:rPr>
          <w:rFonts w:hint="eastAsia" w:ascii="楷体" w:hAnsi="楷体" w:eastAsia="楷体"/>
          <w:b/>
          <w:szCs w:val="21"/>
        </w:rPr>
        <w:t>。具体以甲方与乙方合作金融机构签署的协议为准。</w:t>
      </w:r>
    </w:p>
    <w:p>
      <w:pPr>
        <w:rPr>
          <w:rFonts w:ascii="楷体" w:hAnsi="楷体" w:eastAsia="楷体"/>
          <w:b/>
          <w:szCs w:val="21"/>
        </w:rPr>
      </w:pPr>
    </w:p>
    <w:p>
      <w:pPr>
        <w:pStyle w:val="12"/>
        <w:numPr>
          <w:ilvl w:val="1"/>
          <w:numId w:val="1"/>
        </w:numPr>
        <w:ind w:firstLineChars="0"/>
        <w:rPr>
          <w:rFonts w:ascii="楷体" w:hAnsi="楷体" w:eastAsia="楷体"/>
          <w:b/>
          <w:szCs w:val="21"/>
        </w:rPr>
      </w:pPr>
      <w:r>
        <w:rPr>
          <w:rFonts w:hint="eastAsia" w:ascii="楷体" w:hAnsi="楷体" w:eastAsia="楷体"/>
          <w:b/>
          <w:szCs w:val="21"/>
        </w:rPr>
        <w:t>风险</w:t>
      </w:r>
      <w:r>
        <w:rPr>
          <w:rFonts w:ascii="楷体" w:hAnsi="楷体" w:eastAsia="楷体"/>
          <w:b/>
          <w:szCs w:val="21"/>
        </w:rPr>
        <w:t>提示</w:t>
      </w:r>
    </w:p>
    <w:p>
      <w:pPr>
        <w:pStyle w:val="12"/>
        <w:numPr>
          <w:ilvl w:val="0"/>
          <w:numId w:val="28"/>
        </w:numPr>
        <w:ind w:firstLineChars="0"/>
        <w:rPr>
          <w:rFonts w:ascii="楷体" w:hAnsi="楷体" w:eastAsia="楷体"/>
          <w:b/>
          <w:szCs w:val="21"/>
        </w:rPr>
      </w:pPr>
      <w:r>
        <w:rPr>
          <w:rFonts w:hint="eastAsia" w:ascii="楷体" w:hAnsi="楷体" w:eastAsia="楷体"/>
          <w:b/>
          <w:szCs w:val="21"/>
        </w:rPr>
        <w:t>专属账户所记录的资金明细不同于甲方本人的银行存款，不受《存款保险条例》保护，其实质为甲方委托乙方保管的、所有权归属于甲方的待结算金额。该金额对应的货币资金虽然属于甲方，但不以甲方本人名义存放在银行，而是以乙方名义存放在银行，并且由乙方向银行发起结算至甲方银行账户。</w:t>
      </w:r>
    </w:p>
    <w:p>
      <w:pPr>
        <w:pStyle w:val="12"/>
        <w:numPr>
          <w:ilvl w:val="0"/>
          <w:numId w:val="28"/>
        </w:numPr>
        <w:ind w:firstLineChars="0"/>
        <w:rPr>
          <w:rFonts w:ascii="楷体" w:hAnsi="楷体" w:eastAsia="楷体"/>
          <w:b/>
          <w:szCs w:val="21"/>
        </w:rPr>
      </w:pPr>
      <w:r>
        <w:rPr>
          <w:rFonts w:hint="eastAsia" w:ascii="楷体" w:hAnsi="楷体" w:eastAsia="楷体"/>
          <w:b/>
          <w:szCs w:val="21"/>
        </w:rPr>
        <w:t>甲方充分知悉，乙方仅提供支付相关服务，甲方应承担使用支付服务时其资金的货币贬值、汇率波动等风险。</w:t>
      </w:r>
    </w:p>
    <w:p>
      <w:pPr>
        <w:pStyle w:val="12"/>
        <w:numPr>
          <w:ilvl w:val="0"/>
          <w:numId w:val="28"/>
        </w:numPr>
        <w:ind w:firstLineChars="0"/>
        <w:rPr>
          <w:rFonts w:ascii="楷体" w:hAnsi="楷体" w:eastAsia="楷体"/>
          <w:b/>
          <w:szCs w:val="21"/>
        </w:rPr>
      </w:pPr>
      <w:r>
        <w:rPr>
          <w:rFonts w:hint="eastAsia" w:ascii="楷体" w:hAnsi="楷体" w:eastAsia="楷体"/>
          <w:b/>
          <w:szCs w:val="21"/>
        </w:rPr>
        <w:t>鉴于专属账户与客户在甲方网站注册的账户绑定，甲方及甲方用户应妥善保管其网站注册账户及密码，并自行承担保管不善导致的损失。</w:t>
      </w:r>
    </w:p>
    <w:p>
      <w:pPr>
        <w:pStyle w:val="12"/>
        <w:numPr>
          <w:ilvl w:val="0"/>
          <w:numId w:val="28"/>
        </w:numPr>
        <w:ind w:firstLineChars="0"/>
        <w:rPr>
          <w:rFonts w:ascii="楷体" w:hAnsi="楷体" w:eastAsia="楷体"/>
          <w:b/>
          <w:szCs w:val="21"/>
        </w:rPr>
      </w:pPr>
      <w:r>
        <w:rPr>
          <w:rFonts w:hint="eastAsia" w:ascii="楷体" w:hAnsi="楷体" w:eastAsia="楷体"/>
          <w:b/>
          <w:szCs w:val="21"/>
        </w:rPr>
        <w:t>甲方充分知悉，网上交易有风险，甲方与他人因网上交易产生的商品或服务质量、数量、交易金额、交货时间等纠纷及损失，应由甲方独立承担责任。</w:t>
      </w:r>
    </w:p>
    <w:p>
      <w:pPr>
        <w:pStyle w:val="12"/>
        <w:numPr>
          <w:ilvl w:val="0"/>
          <w:numId w:val="28"/>
        </w:numPr>
        <w:adjustRightInd w:val="0"/>
        <w:snapToGrid w:val="0"/>
        <w:ind w:firstLineChars="0"/>
        <w:rPr>
          <w:rFonts w:ascii="楷体" w:hAnsi="楷体" w:eastAsia="楷体"/>
          <w:szCs w:val="21"/>
        </w:rPr>
      </w:pPr>
      <w:r>
        <w:rPr>
          <w:rFonts w:hint="eastAsia" w:ascii="楷体" w:hAnsi="楷体" w:eastAsia="楷体"/>
          <w:b/>
          <w:szCs w:val="21"/>
        </w:rPr>
        <w:t>甲方对乙方所提示的风险和列示措施、说明完全理解和同意，承诺采取相关风险防范措施以尽量避免或减小风险。</w:t>
      </w:r>
    </w:p>
    <w:p>
      <w:pPr>
        <w:adjustRightInd w:val="0"/>
        <w:snapToGrid w:val="0"/>
        <w:rPr>
          <w:rFonts w:ascii="楷体" w:hAnsi="楷体" w:eastAsia="楷体"/>
          <w:szCs w:val="21"/>
        </w:rPr>
      </w:pPr>
    </w:p>
    <w:p>
      <w:pPr>
        <w:pStyle w:val="12"/>
        <w:numPr>
          <w:ilvl w:val="1"/>
          <w:numId w:val="1"/>
        </w:numPr>
        <w:ind w:firstLineChars="0"/>
        <w:rPr>
          <w:rFonts w:ascii="楷体" w:hAnsi="楷体" w:eastAsia="楷体"/>
          <w:b/>
          <w:szCs w:val="21"/>
        </w:rPr>
      </w:pPr>
      <w:r>
        <w:rPr>
          <w:rFonts w:hint="eastAsia" w:ascii="楷体" w:hAnsi="楷体" w:eastAsia="楷体"/>
          <w:b/>
          <w:szCs w:val="21"/>
        </w:rPr>
        <w:t>规范使用专属账户承诺</w:t>
      </w:r>
    </w:p>
    <w:p>
      <w:pPr>
        <w:ind w:firstLine="420" w:firstLineChars="200"/>
        <w:rPr>
          <w:rFonts w:ascii="楷体" w:hAnsi="楷体" w:eastAsia="楷体"/>
          <w:szCs w:val="21"/>
        </w:rPr>
      </w:pPr>
      <w:r>
        <w:rPr>
          <w:rFonts w:hint="eastAsia" w:ascii="楷体" w:hAnsi="楷体" w:eastAsia="楷体"/>
          <w:szCs w:val="21"/>
        </w:rPr>
        <w:t>为配合乙方贯彻落实《人民币银行结算账户管理办法》、《非银行支付机构网络支付业务管理办法》、《中国人民银行关于进一步加强支付结算管理防范电信网络新型违法犯罪有关事项的通知》等相关法律法规规定，有效应对和防范电信网络新型违反犯罪活动，保护金融消费者财产安全和合法权益，优化商户服务，现基于甲乙双方的业务合作关系，甲方及甲方法定代表人承诺同意如下事项：</w:t>
      </w:r>
    </w:p>
    <w:p>
      <w:pPr>
        <w:pStyle w:val="12"/>
        <w:numPr>
          <w:ilvl w:val="0"/>
          <w:numId w:val="29"/>
        </w:numPr>
        <w:adjustRightInd w:val="0"/>
        <w:snapToGrid w:val="0"/>
        <w:ind w:firstLineChars="0"/>
        <w:rPr>
          <w:rFonts w:ascii="楷体" w:hAnsi="楷体" w:eastAsia="楷体"/>
          <w:szCs w:val="21"/>
        </w:rPr>
      </w:pPr>
      <w:r>
        <w:rPr>
          <w:rFonts w:hint="eastAsia" w:ascii="楷体" w:hAnsi="楷体" w:eastAsia="楷体"/>
          <w:szCs w:val="21"/>
        </w:rPr>
        <w:t>同意并确认系自愿申请在乙方开立单位账户，并保证向乙方提交的单位账户开户证明文件真实、完整、合规，且开户文件所属人与开户申请人保持一致。</w:t>
      </w:r>
    </w:p>
    <w:p>
      <w:pPr>
        <w:pStyle w:val="12"/>
        <w:numPr>
          <w:ilvl w:val="0"/>
          <w:numId w:val="29"/>
        </w:numPr>
        <w:adjustRightInd w:val="0"/>
        <w:snapToGrid w:val="0"/>
        <w:ind w:firstLineChars="0"/>
        <w:rPr>
          <w:rFonts w:ascii="楷体" w:hAnsi="楷体" w:eastAsia="楷体"/>
          <w:szCs w:val="21"/>
        </w:rPr>
      </w:pPr>
      <w:r>
        <w:rPr>
          <w:rFonts w:hint="eastAsia" w:ascii="楷体" w:hAnsi="楷体" w:eastAsia="楷体"/>
          <w:szCs w:val="21"/>
        </w:rPr>
        <w:t>乙方为甲方开立的单位账户仅供甲方在双方协议范围内合法、合规、合理使用，甲方不得出租、出借、出售或有其他变相买卖单位账户的行为。如有违反，导致甲方被市级及以上公安机关认定为买卖单位账户、冒名开户等违法行为的，乙方有权依据相关法律法规的规定，5年内暂停甲方所有业务，并不再为甲方开立新账户。惩戒期满后，甲方如需办理新开立账户业务的，乙方有权要求甲方提供账户使用相关证明文件等其他资质材料。</w:t>
      </w:r>
    </w:p>
    <w:p>
      <w:pPr>
        <w:pStyle w:val="12"/>
        <w:numPr>
          <w:ilvl w:val="0"/>
          <w:numId w:val="29"/>
        </w:numPr>
        <w:adjustRightInd w:val="0"/>
        <w:snapToGrid w:val="0"/>
        <w:ind w:firstLineChars="0"/>
        <w:rPr>
          <w:rFonts w:ascii="楷体" w:hAnsi="楷体" w:eastAsia="楷体"/>
          <w:szCs w:val="21"/>
        </w:rPr>
      </w:pPr>
      <w:r>
        <w:rPr>
          <w:rFonts w:hint="eastAsia" w:ascii="楷体" w:hAnsi="楷体" w:eastAsia="楷体"/>
          <w:szCs w:val="21"/>
        </w:rPr>
        <w:t>甲方应提高账户的合规使用意识，并配合乙方做好账户审核、动态符合、对账、风险监测及后续控制措施等工作。如遇账户变更、撤销或其他行政性变更的，应当及时告知乙方并提交相关说明和证明文件。</w:t>
      </w:r>
    </w:p>
    <w:p>
      <w:pPr>
        <w:pStyle w:val="12"/>
        <w:numPr>
          <w:ilvl w:val="0"/>
          <w:numId w:val="29"/>
        </w:numPr>
        <w:adjustRightInd w:val="0"/>
        <w:snapToGrid w:val="0"/>
        <w:ind w:firstLineChars="0"/>
        <w:rPr>
          <w:rFonts w:ascii="楷体" w:hAnsi="楷体" w:eastAsia="楷体"/>
          <w:szCs w:val="21"/>
        </w:rPr>
      </w:pPr>
      <w:r>
        <w:rPr>
          <w:rFonts w:hint="eastAsia" w:ascii="楷体" w:hAnsi="楷体" w:eastAsia="楷体"/>
          <w:szCs w:val="21"/>
        </w:rPr>
        <w:t>甲方将不断提高社会责任意识，秉持合法经营、合规使用的原则，始终把消费者合法权益的保护工作放在首位。甲方愿意积极维护消费者合法权益，在发生交易风险时，同意乙方对甲方采取控制账户交易等风险控制措施。</w:t>
      </w:r>
      <w:bookmarkEnd w:id="0"/>
    </w:p>
    <w:sectPr>
      <w:footerReference r:id="rId3" w:type="default"/>
      <w:pgSz w:w="11906" w:h="16838"/>
      <w:pgMar w:top="567" w:right="567" w:bottom="567"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78009744"/>
      <w:docPartObj>
        <w:docPartGallery w:val="autotext"/>
      </w:docPartObj>
    </w:sdtPr>
    <w:sdtContent>
      <w:p>
        <w:pPr>
          <w:pStyle w:val="4"/>
          <w:jc w:val="center"/>
        </w:pPr>
        <w:r>
          <w:fldChar w:fldCharType="begin"/>
        </w:r>
        <w:r>
          <w:instrText xml:space="preserve">PAGE   \* MERGEFORMAT</w:instrText>
        </w:r>
        <w:r>
          <w:fldChar w:fldCharType="separate"/>
        </w:r>
        <w:r>
          <w:rPr>
            <w:lang w:val="zh-CN"/>
          </w:rPr>
          <w:t>5</w:t>
        </w:r>
        <w:r>
          <w:fldChar w:fldCharType="end"/>
        </w:r>
      </w:p>
    </w:sdtContent>
  </w:sdt>
  <w:p>
    <w:pPr>
      <w:pStyle w:val="4"/>
    </w:pPr>
    <w:r>
      <w:rPr>
        <w:rFonts w:hint="eastAsia"/>
      </w:rPr>
      <w:t>Education</w:t>
    </w:r>
    <w:r>
      <w:t xml:space="preserve"> V1.0</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6E6D86"/>
    <w:multiLevelType w:val="multilevel"/>
    <w:tmpl w:val="056E6D8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D4D72EE"/>
    <w:multiLevelType w:val="multilevel"/>
    <w:tmpl w:val="0D4D72EE"/>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09A0D5D"/>
    <w:multiLevelType w:val="multilevel"/>
    <w:tmpl w:val="109A0D5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2120011"/>
    <w:multiLevelType w:val="multilevel"/>
    <w:tmpl w:val="1212001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E1E18E2"/>
    <w:multiLevelType w:val="multilevel"/>
    <w:tmpl w:val="1E1E18E2"/>
    <w:lvl w:ilvl="0" w:tentative="0">
      <w:start w:val="1"/>
      <w:numFmt w:val="decimal"/>
      <w:suff w:val="nothing"/>
      <w:lvlText w:val="（%1）"/>
      <w:lvlJc w:val="left"/>
      <w:pPr>
        <w:ind w:left="510" w:hanging="510"/>
      </w:pPr>
      <w:rPr>
        <w:rFonts w:hint="default"/>
      </w:rPr>
    </w:lvl>
    <w:lvl w:ilvl="1" w:tentative="0">
      <w:start w:val="1"/>
      <w:numFmt w:val="lowerLetter"/>
      <w:lvlText w:val="%2)"/>
      <w:lvlJc w:val="left"/>
      <w:pPr>
        <w:ind w:left="654" w:hanging="420"/>
      </w:pPr>
    </w:lvl>
    <w:lvl w:ilvl="2" w:tentative="0">
      <w:start w:val="1"/>
      <w:numFmt w:val="lowerRoman"/>
      <w:lvlText w:val="%3."/>
      <w:lvlJc w:val="right"/>
      <w:pPr>
        <w:ind w:left="1074" w:hanging="420"/>
      </w:pPr>
    </w:lvl>
    <w:lvl w:ilvl="3" w:tentative="0">
      <w:start w:val="1"/>
      <w:numFmt w:val="decimal"/>
      <w:lvlText w:val="%4."/>
      <w:lvlJc w:val="left"/>
      <w:pPr>
        <w:ind w:left="1494" w:hanging="420"/>
      </w:pPr>
    </w:lvl>
    <w:lvl w:ilvl="4" w:tentative="0">
      <w:start w:val="1"/>
      <w:numFmt w:val="lowerLetter"/>
      <w:lvlText w:val="%5)"/>
      <w:lvlJc w:val="left"/>
      <w:pPr>
        <w:ind w:left="1914" w:hanging="420"/>
      </w:pPr>
    </w:lvl>
    <w:lvl w:ilvl="5" w:tentative="0">
      <w:start w:val="1"/>
      <w:numFmt w:val="lowerRoman"/>
      <w:lvlText w:val="%6."/>
      <w:lvlJc w:val="right"/>
      <w:pPr>
        <w:ind w:left="2334" w:hanging="420"/>
      </w:pPr>
    </w:lvl>
    <w:lvl w:ilvl="6" w:tentative="0">
      <w:start w:val="1"/>
      <w:numFmt w:val="decimal"/>
      <w:lvlText w:val="%7."/>
      <w:lvlJc w:val="left"/>
      <w:pPr>
        <w:ind w:left="2754" w:hanging="420"/>
      </w:pPr>
    </w:lvl>
    <w:lvl w:ilvl="7" w:tentative="0">
      <w:start w:val="1"/>
      <w:numFmt w:val="lowerLetter"/>
      <w:lvlText w:val="%8)"/>
      <w:lvlJc w:val="left"/>
      <w:pPr>
        <w:ind w:left="3174" w:hanging="420"/>
      </w:pPr>
    </w:lvl>
    <w:lvl w:ilvl="8" w:tentative="0">
      <w:start w:val="1"/>
      <w:numFmt w:val="lowerRoman"/>
      <w:lvlText w:val="%9."/>
      <w:lvlJc w:val="right"/>
      <w:pPr>
        <w:ind w:left="3594" w:hanging="420"/>
      </w:pPr>
    </w:lvl>
  </w:abstractNum>
  <w:abstractNum w:abstractNumId="5">
    <w:nsid w:val="22CB7AD3"/>
    <w:multiLevelType w:val="multilevel"/>
    <w:tmpl w:val="22CB7AD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93331D6"/>
    <w:multiLevelType w:val="multilevel"/>
    <w:tmpl w:val="293331D6"/>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BF214A6"/>
    <w:multiLevelType w:val="multilevel"/>
    <w:tmpl w:val="2BF214A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1860CA3"/>
    <w:multiLevelType w:val="multilevel"/>
    <w:tmpl w:val="31860CA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1BE079D"/>
    <w:multiLevelType w:val="multilevel"/>
    <w:tmpl w:val="31BE079D"/>
    <w:lvl w:ilvl="0" w:tentative="0">
      <w:start w:val="1"/>
      <w:numFmt w:val="lowerLetter"/>
      <w:lvlText w:val="%1)"/>
      <w:lvlJc w:val="left"/>
      <w:pPr>
        <w:ind w:left="845" w:hanging="420"/>
      </w:p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10">
    <w:nsid w:val="38D0470B"/>
    <w:multiLevelType w:val="multilevel"/>
    <w:tmpl w:val="38D0470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3EE4019A"/>
    <w:multiLevelType w:val="multilevel"/>
    <w:tmpl w:val="3EE4019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42230AD6"/>
    <w:multiLevelType w:val="multilevel"/>
    <w:tmpl w:val="42230AD6"/>
    <w:lvl w:ilvl="0" w:tentative="0">
      <w:start w:val="1"/>
      <w:numFmt w:val="lowerLetter"/>
      <w:lvlText w:val="%1)"/>
      <w:lvlJc w:val="left"/>
      <w:pPr>
        <w:ind w:left="845" w:hanging="420"/>
      </w:p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13">
    <w:nsid w:val="430018B3"/>
    <w:multiLevelType w:val="multilevel"/>
    <w:tmpl w:val="430018B3"/>
    <w:lvl w:ilvl="0" w:tentative="0">
      <w:start w:val="1"/>
      <w:numFmt w:val="decimal"/>
      <w:lvlText w:val="%1."/>
      <w:lvlJc w:val="left"/>
      <w:pPr>
        <w:ind w:left="420" w:hanging="420"/>
      </w:p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14">
    <w:nsid w:val="44C04E05"/>
    <w:multiLevelType w:val="multilevel"/>
    <w:tmpl w:val="44C04E0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44DD0F61"/>
    <w:multiLevelType w:val="multilevel"/>
    <w:tmpl w:val="44DD0F61"/>
    <w:lvl w:ilvl="0" w:tentative="0">
      <w:start w:val="1"/>
      <w:numFmt w:val="decimal"/>
      <w:lvlText w:val="%1."/>
      <w:lvlJc w:val="left"/>
      <w:pPr>
        <w:ind w:left="420" w:hanging="420"/>
      </w:p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16">
    <w:nsid w:val="48831E8A"/>
    <w:multiLevelType w:val="multilevel"/>
    <w:tmpl w:val="48831E8A"/>
    <w:lvl w:ilvl="0" w:tentative="0">
      <w:start w:val="1"/>
      <w:numFmt w:val="decimal"/>
      <w:suff w:val="nothing"/>
      <w:lvlText w:val="（%1）"/>
      <w:lvlJc w:val="left"/>
      <w:pPr>
        <w:ind w:left="510" w:hanging="510"/>
      </w:pPr>
      <w:rPr>
        <w:rFonts w:hint="default"/>
      </w:rPr>
    </w:lvl>
    <w:lvl w:ilvl="1" w:tentative="0">
      <w:start w:val="1"/>
      <w:numFmt w:val="lowerLetter"/>
      <w:lvlText w:val="%2)"/>
      <w:lvlJc w:val="left"/>
      <w:pPr>
        <w:ind w:left="654" w:hanging="420"/>
      </w:pPr>
    </w:lvl>
    <w:lvl w:ilvl="2" w:tentative="0">
      <w:start w:val="1"/>
      <w:numFmt w:val="lowerRoman"/>
      <w:lvlText w:val="%3."/>
      <w:lvlJc w:val="right"/>
      <w:pPr>
        <w:ind w:left="1074" w:hanging="420"/>
      </w:pPr>
    </w:lvl>
    <w:lvl w:ilvl="3" w:tentative="0">
      <w:start w:val="1"/>
      <w:numFmt w:val="decimal"/>
      <w:lvlText w:val="%4."/>
      <w:lvlJc w:val="left"/>
      <w:pPr>
        <w:ind w:left="1494" w:hanging="420"/>
      </w:pPr>
    </w:lvl>
    <w:lvl w:ilvl="4" w:tentative="0">
      <w:start w:val="1"/>
      <w:numFmt w:val="lowerLetter"/>
      <w:lvlText w:val="%5)"/>
      <w:lvlJc w:val="left"/>
      <w:pPr>
        <w:ind w:left="1914" w:hanging="420"/>
      </w:pPr>
    </w:lvl>
    <w:lvl w:ilvl="5" w:tentative="0">
      <w:start w:val="1"/>
      <w:numFmt w:val="lowerRoman"/>
      <w:lvlText w:val="%6."/>
      <w:lvlJc w:val="right"/>
      <w:pPr>
        <w:ind w:left="2334" w:hanging="420"/>
      </w:pPr>
    </w:lvl>
    <w:lvl w:ilvl="6" w:tentative="0">
      <w:start w:val="1"/>
      <w:numFmt w:val="decimal"/>
      <w:lvlText w:val="%7."/>
      <w:lvlJc w:val="left"/>
      <w:pPr>
        <w:ind w:left="2754" w:hanging="420"/>
      </w:pPr>
    </w:lvl>
    <w:lvl w:ilvl="7" w:tentative="0">
      <w:start w:val="1"/>
      <w:numFmt w:val="lowerLetter"/>
      <w:lvlText w:val="%8)"/>
      <w:lvlJc w:val="left"/>
      <w:pPr>
        <w:ind w:left="3174" w:hanging="420"/>
      </w:pPr>
    </w:lvl>
    <w:lvl w:ilvl="8" w:tentative="0">
      <w:start w:val="1"/>
      <w:numFmt w:val="lowerRoman"/>
      <w:lvlText w:val="%9."/>
      <w:lvlJc w:val="right"/>
      <w:pPr>
        <w:ind w:left="3594" w:hanging="420"/>
      </w:pPr>
    </w:lvl>
  </w:abstractNum>
  <w:abstractNum w:abstractNumId="17">
    <w:nsid w:val="4AA847B6"/>
    <w:multiLevelType w:val="multilevel"/>
    <w:tmpl w:val="4AA847B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4FC04CB9"/>
    <w:multiLevelType w:val="multilevel"/>
    <w:tmpl w:val="4FC04CB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9">
    <w:nsid w:val="51C81EF1"/>
    <w:multiLevelType w:val="multilevel"/>
    <w:tmpl w:val="51C81EF1"/>
    <w:lvl w:ilvl="0" w:tentative="0">
      <w:start w:val="1"/>
      <w:numFmt w:val="lowerLetter"/>
      <w:lvlText w:val="%1)"/>
      <w:lvlJc w:val="left"/>
      <w:pPr>
        <w:ind w:left="845" w:hanging="420"/>
      </w:p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20">
    <w:nsid w:val="550C61F5"/>
    <w:multiLevelType w:val="multilevel"/>
    <w:tmpl w:val="550C61F5"/>
    <w:lvl w:ilvl="0" w:tentative="0">
      <w:start w:val="1"/>
      <w:numFmt w:val="decimal"/>
      <w:lvlText w:val="%1."/>
      <w:lvlJc w:val="left"/>
      <w:pPr>
        <w:ind w:left="420" w:hanging="420"/>
      </w:p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21">
    <w:nsid w:val="569D12D8"/>
    <w:multiLevelType w:val="multilevel"/>
    <w:tmpl w:val="569D12D8"/>
    <w:lvl w:ilvl="0" w:tentative="0">
      <w:start w:val="1"/>
      <w:numFmt w:val="japaneseCounting"/>
      <w:lvlText w:val="第%1条"/>
      <w:lvlJc w:val="left"/>
      <w:pPr>
        <w:ind w:left="1517" w:hanging="1035"/>
      </w:pPr>
      <w:rPr>
        <w:rFonts w:hint="default"/>
      </w:rPr>
    </w:lvl>
    <w:lvl w:ilvl="1" w:tentative="0">
      <w:start w:val="1"/>
      <w:numFmt w:val="japaneseCounting"/>
      <w:lvlText w:val="%2、"/>
      <w:lvlJc w:val="left"/>
      <w:pPr>
        <w:ind w:left="450" w:hanging="450"/>
      </w:pPr>
      <w:rPr>
        <w:rFonts w:hint="default"/>
      </w:r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2">
    <w:nsid w:val="5CDA57F9"/>
    <w:multiLevelType w:val="multilevel"/>
    <w:tmpl w:val="5CDA57F9"/>
    <w:lvl w:ilvl="0" w:tentative="0">
      <w:start w:val="1"/>
      <w:numFmt w:val="decimal"/>
      <w:suff w:val="nothing"/>
      <w:lvlText w:val="（%1）"/>
      <w:lvlJc w:val="left"/>
      <w:pPr>
        <w:ind w:left="510" w:hanging="510"/>
      </w:pPr>
      <w:rPr>
        <w:rFonts w:hint="default"/>
      </w:rPr>
    </w:lvl>
    <w:lvl w:ilvl="1" w:tentative="0">
      <w:start w:val="1"/>
      <w:numFmt w:val="lowerLetter"/>
      <w:lvlText w:val="%2)"/>
      <w:lvlJc w:val="left"/>
      <w:pPr>
        <w:ind w:left="654" w:hanging="420"/>
      </w:pPr>
    </w:lvl>
    <w:lvl w:ilvl="2" w:tentative="0">
      <w:start w:val="1"/>
      <w:numFmt w:val="lowerRoman"/>
      <w:lvlText w:val="%3."/>
      <w:lvlJc w:val="right"/>
      <w:pPr>
        <w:ind w:left="1074" w:hanging="420"/>
      </w:pPr>
    </w:lvl>
    <w:lvl w:ilvl="3" w:tentative="0">
      <w:start w:val="1"/>
      <w:numFmt w:val="decimal"/>
      <w:lvlText w:val="%4."/>
      <w:lvlJc w:val="left"/>
      <w:pPr>
        <w:ind w:left="1494" w:hanging="420"/>
      </w:pPr>
    </w:lvl>
    <w:lvl w:ilvl="4" w:tentative="0">
      <w:start w:val="1"/>
      <w:numFmt w:val="lowerLetter"/>
      <w:lvlText w:val="%5)"/>
      <w:lvlJc w:val="left"/>
      <w:pPr>
        <w:ind w:left="1914" w:hanging="420"/>
      </w:pPr>
    </w:lvl>
    <w:lvl w:ilvl="5" w:tentative="0">
      <w:start w:val="1"/>
      <w:numFmt w:val="lowerRoman"/>
      <w:lvlText w:val="%6."/>
      <w:lvlJc w:val="right"/>
      <w:pPr>
        <w:ind w:left="2334" w:hanging="420"/>
      </w:pPr>
    </w:lvl>
    <w:lvl w:ilvl="6" w:tentative="0">
      <w:start w:val="1"/>
      <w:numFmt w:val="decimal"/>
      <w:lvlText w:val="%7."/>
      <w:lvlJc w:val="left"/>
      <w:pPr>
        <w:ind w:left="2754" w:hanging="420"/>
      </w:pPr>
    </w:lvl>
    <w:lvl w:ilvl="7" w:tentative="0">
      <w:start w:val="1"/>
      <w:numFmt w:val="lowerLetter"/>
      <w:lvlText w:val="%8)"/>
      <w:lvlJc w:val="left"/>
      <w:pPr>
        <w:ind w:left="3174" w:hanging="420"/>
      </w:pPr>
    </w:lvl>
    <w:lvl w:ilvl="8" w:tentative="0">
      <w:start w:val="1"/>
      <w:numFmt w:val="lowerRoman"/>
      <w:lvlText w:val="%9."/>
      <w:lvlJc w:val="right"/>
      <w:pPr>
        <w:ind w:left="3594" w:hanging="420"/>
      </w:pPr>
    </w:lvl>
  </w:abstractNum>
  <w:abstractNum w:abstractNumId="23">
    <w:nsid w:val="61F70992"/>
    <w:multiLevelType w:val="multilevel"/>
    <w:tmpl w:val="61F7099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66190FD9"/>
    <w:multiLevelType w:val="multilevel"/>
    <w:tmpl w:val="66190FD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735843E2"/>
    <w:multiLevelType w:val="multilevel"/>
    <w:tmpl w:val="735843E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7704163E"/>
    <w:multiLevelType w:val="multilevel"/>
    <w:tmpl w:val="7704163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7A72429B"/>
    <w:multiLevelType w:val="multilevel"/>
    <w:tmpl w:val="7A72429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1"/>
  </w:num>
  <w:num w:numId="2">
    <w:abstractNumId w:val="0"/>
  </w:num>
  <w:num w:numId="3">
    <w:abstractNumId w:val="6"/>
  </w:num>
  <w:num w:numId="4">
    <w:abstractNumId w:val="18"/>
  </w:num>
  <w:num w:numId="5">
    <w:abstractNumId w:val="24"/>
  </w:num>
  <w:num w:numId="6">
    <w:abstractNumId w:val="25"/>
  </w:num>
  <w:num w:numId="7">
    <w:abstractNumId w:val="22"/>
  </w:num>
  <w:num w:numId="8">
    <w:abstractNumId w:val="4"/>
  </w:num>
  <w:num w:numId="9">
    <w:abstractNumId w:val="8"/>
  </w:num>
  <w:num w:numId="10">
    <w:abstractNumId w:val="3"/>
  </w:num>
  <w:num w:numId="11">
    <w:abstractNumId w:val="2"/>
  </w:num>
  <w:num w:numId="12">
    <w:abstractNumId w:val="14"/>
  </w:num>
  <w:num w:numId="13">
    <w:abstractNumId w:val="7"/>
  </w:num>
  <w:num w:numId="14">
    <w:abstractNumId w:val="13"/>
  </w:num>
  <w:num w:numId="15">
    <w:abstractNumId w:val="15"/>
  </w:num>
  <w:num w:numId="16">
    <w:abstractNumId w:val="20"/>
  </w:num>
  <w:num w:numId="17">
    <w:abstractNumId w:val="1"/>
  </w:num>
  <w:num w:numId="18">
    <w:abstractNumId w:val="5"/>
  </w:num>
  <w:num w:numId="19">
    <w:abstractNumId w:val="12"/>
  </w:num>
  <w:num w:numId="20">
    <w:abstractNumId w:val="19"/>
  </w:num>
  <w:num w:numId="21">
    <w:abstractNumId w:val="9"/>
  </w:num>
  <w:num w:numId="22">
    <w:abstractNumId w:val="10"/>
  </w:num>
  <w:num w:numId="23">
    <w:abstractNumId w:val="27"/>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17"/>
  </w:num>
  <w:num w:numId="27">
    <w:abstractNumId w:val="11"/>
  </w:num>
  <w:num w:numId="28">
    <w:abstractNumId w:val="23"/>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1" w:cryptProviderType="rsaAES" w:cryptAlgorithmClass="hash" w:cryptAlgorithmType="typeAny" w:cryptAlgorithmSid="14" w:cryptSpinCount="100000" w:hash="g6ab+WgUr/qs1R7Bmb3Djbfp/VbMcq5lZkl4sNHzGwHhTbzn9iM3FAXMdK2EZhHGt9u64nfE3lp3cvSMHR5mdQ==" w:salt="zDg70CVsyJIoWhJ+PCPckw=="/>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C77"/>
    <w:rsid w:val="000009C4"/>
    <w:rsid w:val="0000189C"/>
    <w:rsid w:val="00003648"/>
    <w:rsid w:val="00004986"/>
    <w:rsid w:val="00004D7B"/>
    <w:rsid w:val="000059BB"/>
    <w:rsid w:val="00005CBA"/>
    <w:rsid w:val="00006B69"/>
    <w:rsid w:val="000116DA"/>
    <w:rsid w:val="00015661"/>
    <w:rsid w:val="00030136"/>
    <w:rsid w:val="00030921"/>
    <w:rsid w:val="000313A0"/>
    <w:rsid w:val="0003280A"/>
    <w:rsid w:val="00033BD8"/>
    <w:rsid w:val="00033E27"/>
    <w:rsid w:val="00035207"/>
    <w:rsid w:val="00045F85"/>
    <w:rsid w:val="00051EA3"/>
    <w:rsid w:val="000544E4"/>
    <w:rsid w:val="00055761"/>
    <w:rsid w:val="00060C10"/>
    <w:rsid w:val="00064DD2"/>
    <w:rsid w:val="00066043"/>
    <w:rsid w:val="00072855"/>
    <w:rsid w:val="00073426"/>
    <w:rsid w:val="000737F0"/>
    <w:rsid w:val="00074313"/>
    <w:rsid w:val="000743BE"/>
    <w:rsid w:val="0007490D"/>
    <w:rsid w:val="00080FC5"/>
    <w:rsid w:val="000840F0"/>
    <w:rsid w:val="00084210"/>
    <w:rsid w:val="00084833"/>
    <w:rsid w:val="000849D2"/>
    <w:rsid w:val="00087DDE"/>
    <w:rsid w:val="00092E8D"/>
    <w:rsid w:val="00094D2E"/>
    <w:rsid w:val="00095199"/>
    <w:rsid w:val="0009589E"/>
    <w:rsid w:val="0009665F"/>
    <w:rsid w:val="00097DB3"/>
    <w:rsid w:val="000A2372"/>
    <w:rsid w:val="000A4018"/>
    <w:rsid w:val="000A49E4"/>
    <w:rsid w:val="000A5939"/>
    <w:rsid w:val="000B0C09"/>
    <w:rsid w:val="000B146F"/>
    <w:rsid w:val="000B4313"/>
    <w:rsid w:val="000B7AD6"/>
    <w:rsid w:val="000C333C"/>
    <w:rsid w:val="000C37E0"/>
    <w:rsid w:val="000C5EC6"/>
    <w:rsid w:val="000D0346"/>
    <w:rsid w:val="000E12DF"/>
    <w:rsid w:val="000E1975"/>
    <w:rsid w:val="000E3533"/>
    <w:rsid w:val="000E597A"/>
    <w:rsid w:val="000E682A"/>
    <w:rsid w:val="000E68D3"/>
    <w:rsid w:val="000F049C"/>
    <w:rsid w:val="000F1180"/>
    <w:rsid w:val="000F20C5"/>
    <w:rsid w:val="000F2F97"/>
    <w:rsid w:val="000F3BBE"/>
    <w:rsid w:val="000F43D0"/>
    <w:rsid w:val="000F4DD6"/>
    <w:rsid w:val="000F537A"/>
    <w:rsid w:val="000F6019"/>
    <w:rsid w:val="0010265B"/>
    <w:rsid w:val="00104A05"/>
    <w:rsid w:val="00104FEE"/>
    <w:rsid w:val="001061D2"/>
    <w:rsid w:val="00106BD0"/>
    <w:rsid w:val="00110516"/>
    <w:rsid w:val="001109A3"/>
    <w:rsid w:val="00116FEA"/>
    <w:rsid w:val="00120680"/>
    <w:rsid w:val="001208D5"/>
    <w:rsid w:val="001221F7"/>
    <w:rsid w:val="0012230A"/>
    <w:rsid w:val="00123016"/>
    <w:rsid w:val="0012760A"/>
    <w:rsid w:val="0013095A"/>
    <w:rsid w:val="00131E42"/>
    <w:rsid w:val="00137130"/>
    <w:rsid w:val="001406AF"/>
    <w:rsid w:val="00141425"/>
    <w:rsid w:val="00142C5B"/>
    <w:rsid w:val="00144DC4"/>
    <w:rsid w:val="00144E84"/>
    <w:rsid w:val="0014563D"/>
    <w:rsid w:val="00147DF3"/>
    <w:rsid w:val="00150328"/>
    <w:rsid w:val="001528A1"/>
    <w:rsid w:val="001551A8"/>
    <w:rsid w:val="00161634"/>
    <w:rsid w:val="001617F1"/>
    <w:rsid w:val="001631B3"/>
    <w:rsid w:val="00163728"/>
    <w:rsid w:val="00163A47"/>
    <w:rsid w:val="00165540"/>
    <w:rsid w:val="001657B1"/>
    <w:rsid w:val="001657C2"/>
    <w:rsid w:val="001721B3"/>
    <w:rsid w:val="00173A85"/>
    <w:rsid w:val="00177CD4"/>
    <w:rsid w:val="00177EA9"/>
    <w:rsid w:val="00180ACA"/>
    <w:rsid w:val="00181DE1"/>
    <w:rsid w:val="00181E3D"/>
    <w:rsid w:val="00182A91"/>
    <w:rsid w:val="0018370F"/>
    <w:rsid w:val="00185EF1"/>
    <w:rsid w:val="00191E6C"/>
    <w:rsid w:val="00193E6F"/>
    <w:rsid w:val="001A1622"/>
    <w:rsid w:val="001A58A0"/>
    <w:rsid w:val="001A58E3"/>
    <w:rsid w:val="001B6A40"/>
    <w:rsid w:val="001B76FC"/>
    <w:rsid w:val="001B7CA1"/>
    <w:rsid w:val="001C1FC7"/>
    <w:rsid w:val="001C200B"/>
    <w:rsid w:val="001C4BE0"/>
    <w:rsid w:val="001D0166"/>
    <w:rsid w:val="001D13B6"/>
    <w:rsid w:val="001D1F71"/>
    <w:rsid w:val="001D227A"/>
    <w:rsid w:val="001D4FDB"/>
    <w:rsid w:val="001D5647"/>
    <w:rsid w:val="001D60AD"/>
    <w:rsid w:val="001E2168"/>
    <w:rsid w:val="001E2193"/>
    <w:rsid w:val="001E66D9"/>
    <w:rsid w:val="001E6D52"/>
    <w:rsid w:val="001F2BA1"/>
    <w:rsid w:val="001F3410"/>
    <w:rsid w:val="001F5440"/>
    <w:rsid w:val="001F5985"/>
    <w:rsid w:val="001F60C9"/>
    <w:rsid w:val="00204C43"/>
    <w:rsid w:val="00206832"/>
    <w:rsid w:val="00206EB3"/>
    <w:rsid w:val="00221003"/>
    <w:rsid w:val="002217E2"/>
    <w:rsid w:val="00221BC2"/>
    <w:rsid w:val="002230F6"/>
    <w:rsid w:val="002242C5"/>
    <w:rsid w:val="002247E8"/>
    <w:rsid w:val="00224D56"/>
    <w:rsid w:val="00231A70"/>
    <w:rsid w:val="00237F1D"/>
    <w:rsid w:val="00242941"/>
    <w:rsid w:val="00247C86"/>
    <w:rsid w:val="00254212"/>
    <w:rsid w:val="002549E6"/>
    <w:rsid w:val="002560FA"/>
    <w:rsid w:val="00256F51"/>
    <w:rsid w:val="00263170"/>
    <w:rsid w:val="00263B71"/>
    <w:rsid w:val="00267206"/>
    <w:rsid w:val="00273900"/>
    <w:rsid w:val="00276822"/>
    <w:rsid w:val="002805EF"/>
    <w:rsid w:val="00282E34"/>
    <w:rsid w:val="00283594"/>
    <w:rsid w:val="002841F2"/>
    <w:rsid w:val="0028579C"/>
    <w:rsid w:val="00285C75"/>
    <w:rsid w:val="00291AC5"/>
    <w:rsid w:val="00294581"/>
    <w:rsid w:val="0029754F"/>
    <w:rsid w:val="00297DDA"/>
    <w:rsid w:val="002A5209"/>
    <w:rsid w:val="002A6597"/>
    <w:rsid w:val="002A68CC"/>
    <w:rsid w:val="002A6953"/>
    <w:rsid w:val="002B4104"/>
    <w:rsid w:val="002B5401"/>
    <w:rsid w:val="002B5673"/>
    <w:rsid w:val="002B7C6F"/>
    <w:rsid w:val="002B7FBA"/>
    <w:rsid w:val="002C0642"/>
    <w:rsid w:val="002C12B7"/>
    <w:rsid w:val="002C283D"/>
    <w:rsid w:val="002C68D0"/>
    <w:rsid w:val="002C7554"/>
    <w:rsid w:val="002D038F"/>
    <w:rsid w:val="002D0E34"/>
    <w:rsid w:val="002D453F"/>
    <w:rsid w:val="002D57AB"/>
    <w:rsid w:val="002E59B5"/>
    <w:rsid w:val="002F1879"/>
    <w:rsid w:val="002F4B7C"/>
    <w:rsid w:val="00301445"/>
    <w:rsid w:val="00301C61"/>
    <w:rsid w:val="00301C9C"/>
    <w:rsid w:val="00302AD1"/>
    <w:rsid w:val="00302E78"/>
    <w:rsid w:val="00303B6E"/>
    <w:rsid w:val="00303D09"/>
    <w:rsid w:val="003042DF"/>
    <w:rsid w:val="003055FF"/>
    <w:rsid w:val="00305613"/>
    <w:rsid w:val="00313944"/>
    <w:rsid w:val="00314CE1"/>
    <w:rsid w:val="0032247F"/>
    <w:rsid w:val="0032739B"/>
    <w:rsid w:val="003311B5"/>
    <w:rsid w:val="00333059"/>
    <w:rsid w:val="00334BBB"/>
    <w:rsid w:val="003352AC"/>
    <w:rsid w:val="00337807"/>
    <w:rsid w:val="00341813"/>
    <w:rsid w:val="00341A1A"/>
    <w:rsid w:val="00341ED9"/>
    <w:rsid w:val="00344005"/>
    <w:rsid w:val="00344592"/>
    <w:rsid w:val="0035151E"/>
    <w:rsid w:val="00355D2C"/>
    <w:rsid w:val="00363049"/>
    <w:rsid w:val="00363A35"/>
    <w:rsid w:val="0036456F"/>
    <w:rsid w:val="00364B4E"/>
    <w:rsid w:val="0036794E"/>
    <w:rsid w:val="003704AF"/>
    <w:rsid w:val="003705F6"/>
    <w:rsid w:val="00373409"/>
    <w:rsid w:val="00375740"/>
    <w:rsid w:val="00375F45"/>
    <w:rsid w:val="00376A0D"/>
    <w:rsid w:val="00380850"/>
    <w:rsid w:val="00381D4F"/>
    <w:rsid w:val="00384429"/>
    <w:rsid w:val="003844BD"/>
    <w:rsid w:val="0038681B"/>
    <w:rsid w:val="00396A1E"/>
    <w:rsid w:val="003A28C9"/>
    <w:rsid w:val="003A4EB4"/>
    <w:rsid w:val="003A5271"/>
    <w:rsid w:val="003A57B5"/>
    <w:rsid w:val="003A6058"/>
    <w:rsid w:val="003A7FB6"/>
    <w:rsid w:val="003B376D"/>
    <w:rsid w:val="003C13FC"/>
    <w:rsid w:val="003C30BA"/>
    <w:rsid w:val="003C46B4"/>
    <w:rsid w:val="003C7198"/>
    <w:rsid w:val="003D197B"/>
    <w:rsid w:val="003D3ACD"/>
    <w:rsid w:val="003E024C"/>
    <w:rsid w:val="003E2DED"/>
    <w:rsid w:val="003E30C9"/>
    <w:rsid w:val="003E4737"/>
    <w:rsid w:val="003E73F9"/>
    <w:rsid w:val="003F027F"/>
    <w:rsid w:val="003F0379"/>
    <w:rsid w:val="003F0DD5"/>
    <w:rsid w:val="003F1817"/>
    <w:rsid w:val="003F1EE9"/>
    <w:rsid w:val="003F2DC1"/>
    <w:rsid w:val="003F32EA"/>
    <w:rsid w:val="003F54A9"/>
    <w:rsid w:val="003F6B39"/>
    <w:rsid w:val="00401049"/>
    <w:rsid w:val="00403CDF"/>
    <w:rsid w:val="00404B39"/>
    <w:rsid w:val="0040586C"/>
    <w:rsid w:val="00405FE4"/>
    <w:rsid w:val="00406D15"/>
    <w:rsid w:val="00407503"/>
    <w:rsid w:val="00407643"/>
    <w:rsid w:val="00413839"/>
    <w:rsid w:val="00414D2E"/>
    <w:rsid w:val="00415D9E"/>
    <w:rsid w:val="00420564"/>
    <w:rsid w:val="0042140E"/>
    <w:rsid w:val="00424D00"/>
    <w:rsid w:val="004306B3"/>
    <w:rsid w:val="004310C5"/>
    <w:rsid w:val="004316CA"/>
    <w:rsid w:val="00432517"/>
    <w:rsid w:val="004352BF"/>
    <w:rsid w:val="00441119"/>
    <w:rsid w:val="00452BE0"/>
    <w:rsid w:val="00452F8E"/>
    <w:rsid w:val="00453AE1"/>
    <w:rsid w:val="00453C36"/>
    <w:rsid w:val="00456BAE"/>
    <w:rsid w:val="00457BBF"/>
    <w:rsid w:val="00460DBD"/>
    <w:rsid w:val="004612B7"/>
    <w:rsid w:val="00461E31"/>
    <w:rsid w:val="00463B40"/>
    <w:rsid w:val="004652FC"/>
    <w:rsid w:val="00467C18"/>
    <w:rsid w:val="004737A0"/>
    <w:rsid w:val="00474B90"/>
    <w:rsid w:val="0047530E"/>
    <w:rsid w:val="00475E67"/>
    <w:rsid w:val="00477B4F"/>
    <w:rsid w:val="00481612"/>
    <w:rsid w:val="0048214C"/>
    <w:rsid w:val="004910B1"/>
    <w:rsid w:val="00495713"/>
    <w:rsid w:val="00495E0E"/>
    <w:rsid w:val="004B0DE4"/>
    <w:rsid w:val="004B1EFC"/>
    <w:rsid w:val="004B3E7B"/>
    <w:rsid w:val="004B50D5"/>
    <w:rsid w:val="004B6000"/>
    <w:rsid w:val="004C2214"/>
    <w:rsid w:val="004C275B"/>
    <w:rsid w:val="004C3835"/>
    <w:rsid w:val="004C53AC"/>
    <w:rsid w:val="004C6643"/>
    <w:rsid w:val="004C7441"/>
    <w:rsid w:val="004C76DF"/>
    <w:rsid w:val="004D3557"/>
    <w:rsid w:val="004D54DE"/>
    <w:rsid w:val="004D7D7E"/>
    <w:rsid w:val="004E3713"/>
    <w:rsid w:val="004E4DE5"/>
    <w:rsid w:val="004E6165"/>
    <w:rsid w:val="004E63C3"/>
    <w:rsid w:val="004F10E2"/>
    <w:rsid w:val="004F2C77"/>
    <w:rsid w:val="004F618C"/>
    <w:rsid w:val="005021B2"/>
    <w:rsid w:val="005079C5"/>
    <w:rsid w:val="00514738"/>
    <w:rsid w:val="005220CE"/>
    <w:rsid w:val="00523973"/>
    <w:rsid w:val="00523BA6"/>
    <w:rsid w:val="0052757D"/>
    <w:rsid w:val="005322C0"/>
    <w:rsid w:val="00532787"/>
    <w:rsid w:val="00535F3E"/>
    <w:rsid w:val="0053738A"/>
    <w:rsid w:val="00544018"/>
    <w:rsid w:val="00546994"/>
    <w:rsid w:val="005472E3"/>
    <w:rsid w:val="00550151"/>
    <w:rsid w:val="00554478"/>
    <w:rsid w:val="0055450B"/>
    <w:rsid w:val="00561680"/>
    <w:rsid w:val="005628CB"/>
    <w:rsid w:val="005633E0"/>
    <w:rsid w:val="00563618"/>
    <w:rsid w:val="0056670E"/>
    <w:rsid w:val="005677EB"/>
    <w:rsid w:val="005719DD"/>
    <w:rsid w:val="00573225"/>
    <w:rsid w:val="00574021"/>
    <w:rsid w:val="0057446B"/>
    <w:rsid w:val="005751FE"/>
    <w:rsid w:val="00577DB5"/>
    <w:rsid w:val="00584CCB"/>
    <w:rsid w:val="00585356"/>
    <w:rsid w:val="00586D4B"/>
    <w:rsid w:val="0059360A"/>
    <w:rsid w:val="005A1F3C"/>
    <w:rsid w:val="005A314A"/>
    <w:rsid w:val="005A3B9B"/>
    <w:rsid w:val="005A58CD"/>
    <w:rsid w:val="005A72BB"/>
    <w:rsid w:val="005B2CDD"/>
    <w:rsid w:val="005B3F99"/>
    <w:rsid w:val="005B45DE"/>
    <w:rsid w:val="005B612D"/>
    <w:rsid w:val="005B6151"/>
    <w:rsid w:val="005C0ED2"/>
    <w:rsid w:val="005C20D5"/>
    <w:rsid w:val="005C219C"/>
    <w:rsid w:val="005C26E1"/>
    <w:rsid w:val="005C7759"/>
    <w:rsid w:val="005D1B01"/>
    <w:rsid w:val="005D33D2"/>
    <w:rsid w:val="005D44BF"/>
    <w:rsid w:val="005E14BA"/>
    <w:rsid w:val="005E33C8"/>
    <w:rsid w:val="005E4074"/>
    <w:rsid w:val="005E4A8B"/>
    <w:rsid w:val="005F4611"/>
    <w:rsid w:val="00600761"/>
    <w:rsid w:val="00602549"/>
    <w:rsid w:val="00602809"/>
    <w:rsid w:val="00602902"/>
    <w:rsid w:val="00602A95"/>
    <w:rsid w:val="00603756"/>
    <w:rsid w:val="00603946"/>
    <w:rsid w:val="00604E1E"/>
    <w:rsid w:val="0060631C"/>
    <w:rsid w:val="00607D16"/>
    <w:rsid w:val="00613FDC"/>
    <w:rsid w:val="00614D44"/>
    <w:rsid w:val="0061509E"/>
    <w:rsid w:val="00616811"/>
    <w:rsid w:val="00620203"/>
    <w:rsid w:val="00621BAC"/>
    <w:rsid w:val="006228B1"/>
    <w:rsid w:val="0062602B"/>
    <w:rsid w:val="00627969"/>
    <w:rsid w:val="00630DCB"/>
    <w:rsid w:val="00631CDE"/>
    <w:rsid w:val="00634DAB"/>
    <w:rsid w:val="00635E1F"/>
    <w:rsid w:val="0063776C"/>
    <w:rsid w:val="0064201F"/>
    <w:rsid w:val="006439F5"/>
    <w:rsid w:val="00644554"/>
    <w:rsid w:val="00645C98"/>
    <w:rsid w:val="00645F67"/>
    <w:rsid w:val="00650AA6"/>
    <w:rsid w:val="0065244E"/>
    <w:rsid w:val="00653F14"/>
    <w:rsid w:val="00657160"/>
    <w:rsid w:val="00667872"/>
    <w:rsid w:val="00672B47"/>
    <w:rsid w:val="006732FB"/>
    <w:rsid w:val="00674D7B"/>
    <w:rsid w:val="00676B42"/>
    <w:rsid w:val="00681A99"/>
    <w:rsid w:val="00682D9A"/>
    <w:rsid w:val="0068366E"/>
    <w:rsid w:val="00683ACA"/>
    <w:rsid w:val="00685A70"/>
    <w:rsid w:val="006875FD"/>
    <w:rsid w:val="006A2ECD"/>
    <w:rsid w:val="006A41CF"/>
    <w:rsid w:val="006A57CF"/>
    <w:rsid w:val="006A5A83"/>
    <w:rsid w:val="006B5336"/>
    <w:rsid w:val="006B5ED0"/>
    <w:rsid w:val="006C3EA7"/>
    <w:rsid w:val="006C4DE8"/>
    <w:rsid w:val="006D0784"/>
    <w:rsid w:val="006D1B01"/>
    <w:rsid w:val="006D450B"/>
    <w:rsid w:val="006E13FF"/>
    <w:rsid w:val="006E142A"/>
    <w:rsid w:val="006E74A9"/>
    <w:rsid w:val="006E7EBC"/>
    <w:rsid w:val="006F359A"/>
    <w:rsid w:val="006F3F98"/>
    <w:rsid w:val="006F40C8"/>
    <w:rsid w:val="006F59F1"/>
    <w:rsid w:val="006F5B1A"/>
    <w:rsid w:val="0070185C"/>
    <w:rsid w:val="00702F40"/>
    <w:rsid w:val="0070370A"/>
    <w:rsid w:val="007109CE"/>
    <w:rsid w:val="00713694"/>
    <w:rsid w:val="007152C2"/>
    <w:rsid w:val="00716022"/>
    <w:rsid w:val="007171A7"/>
    <w:rsid w:val="007171E6"/>
    <w:rsid w:val="00717940"/>
    <w:rsid w:val="00721236"/>
    <w:rsid w:val="0072298E"/>
    <w:rsid w:val="00723FF8"/>
    <w:rsid w:val="00724A7A"/>
    <w:rsid w:val="00724A7D"/>
    <w:rsid w:val="00727233"/>
    <w:rsid w:val="00732225"/>
    <w:rsid w:val="00733720"/>
    <w:rsid w:val="00733BA2"/>
    <w:rsid w:val="007422B0"/>
    <w:rsid w:val="0074433D"/>
    <w:rsid w:val="007451D4"/>
    <w:rsid w:val="00746B77"/>
    <w:rsid w:val="00746EDA"/>
    <w:rsid w:val="00750B2F"/>
    <w:rsid w:val="00751A1B"/>
    <w:rsid w:val="00751E36"/>
    <w:rsid w:val="007551F5"/>
    <w:rsid w:val="00757C43"/>
    <w:rsid w:val="007607C8"/>
    <w:rsid w:val="00760D5C"/>
    <w:rsid w:val="00762CAE"/>
    <w:rsid w:val="007671A1"/>
    <w:rsid w:val="00767BED"/>
    <w:rsid w:val="007768AF"/>
    <w:rsid w:val="00777C89"/>
    <w:rsid w:val="00781D84"/>
    <w:rsid w:val="007844F0"/>
    <w:rsid w:val="00790E06"/>
    <w:rsid w:val="00793DC7"/>
    <w:rsid w:val="007A15D4"/>
    <w:rsid w:val="007A1ABA"/>
    <w:rsid w:val="007A3624"/>
    <w:rsid w:val="007A7A8F"/>
    <w:rsid w:val="007B2F76"/>
    <w:rsid w:val="007B38BF"/>
    <w:rsid w:val="007B417E"/>
    <w:rsid w:val="007B4A5F"/>
    <w:rsid w:val="007B4C28"/>
    <w:rsid w:val="007B56A4"/>
    <w:rsid w:val="007B5A7A"/>
    <w:rsid w:val="007C5101"/>
    <w:rsid w:val="007C62D0"/>
    <w:rsid w:val="007C650F"/>
    <w:rsid w:val="007D0454"/>
    <w:rsid w:val="007D1521"/>
    <w:rsid w:val="007D3BEE"/>
    <w:rsid w:val="007D3CF4"/>
    <w:rsid w:val="007D60A1"/>
    <w:rsid w:val="007E1574"/>
    <w:rsid w:val="007E1817"/>
    <w:rsid w:val="007E1C05"/>
    <w:rsid w:val="007E5206"/>
    <w:rsid w:val="007E5B6C"/>
    <w:rsid w:val="007F132C"/>
    <w:rsid w:val="007F4DDB"/>
    <w:rsid w:val="007F5EDC"/>
    <w:rsid w:val="007F6743"/>
    <w:rsid w:val="00800F81"/>
    <w:rsid w:val="00805FE2"/>
    <w:rsid w:val="00806F0B"/>
    <w:rsid w:val="00813544"/>
    <w:rsid w:val="00813BE3"/>
    <w:rsid w:val="00813DC7"/>
    <w:rsid w:val="00814BE6"/>
    <w:rsid w:val="00815935"/>
    <w:rsid w:val="008165C8"/>
    <w:rsid w:val="00816A2F"/>
    <w:rsid w:val="00816EBE"/>
    <w:rsid w:val="00816F45"/>
    <w:rsid w:val="00817019"/>
    <w:rsid w:val="0082120C"/>
    <w:rsid w:val="008232AD"/>
    <w:rsid w:val="00825D20"/>
    <w:rsid w:val="00831A05"/>
    <w:rsid w:val="0083276D"/>
    <w:rsid w:val="00832E1E"/>
    <w:rsid w:val="0083358F"/>
    <w:rsid w:val="0084179B"/>
    <w:rsid w:val="0084284A"/>
    <w:rsid w:val="008454C9"/>
    <w:rsid w:val="00852CD3"/>
    <w:rsid w:val="0085562A"/>
    <w:rsid w:val="00855D75"/>
    <w:rsid w:val="00863CDD"/>
    <w:rsid w:val="00864587"/>
    <w:rsid w:val="00865719"/>
    <w:rsid w:val="008722FE"/>
    <w:rsid w:val="00874A1B"/>
    <w:rsid w:val="00875862"/>
    <w:rsid w:val="008828C4"/>
    <w:rsid w:val="00883D11"/>
    <w:rsid w:val="00884E7C"/>
    <w:rsid w:val="0088529C"/>
    <w:rsid w:val="008873F6"/>
    <w:rsid w:val="00887A4D"/>
    <w:rsid w:val="00891410"/>
    <w:rsid w:val="00891F90"/>
    <w:rsid w:val="00897910"/>
    <w:rsid w:val="008A0F91"/>
    <w:rsid w:val="008A10DB"/>
    <w:rsid w:val="008A1676"/>
    <w:rsid w:val="008A31BC"/>
    <w:rsid w:val="008A3DC2"/>
    <w:rsid w:val="008A6AD6"/>
    <w:rsid w:val="008B1E81"/>
    <w:rsid w:val="008B65CE"/>
    <w:rsid w:val="008C5302"/>
    <w:rsid w:val="008C5869"/>
    <w:rsid w:val="008C5B6B"/>
    <w:rsid w:val="008D1220"/>
    <w:rsid w:val="008D157F"/>
    <w:rsid w:val="008D4BE0"/>
    <w:rsid w:val="008D5B9D"/>
    <w:rsid w:val="008E4087"/>
    <w:rsid w:val="008E543F"/>
    <w:rsid w:val="008E5C5F"/>
    <w:rsid w:val="008E7195"/>
    <w:rsid w:val="008F16C7"/>
    <w:rsid w:val="008F23B8"/>
    <w:rsid w:val="008F2A83"/>
    <w:rsid w:val="008F57B9"/>
    <w:rsid w:val="008F5F72"/>
    <w:rsid w:val="008F6E57"/>
    <w:rsid w:val="009001C5"/>
    <w:rsid w:val="00901B3A"/>
    <w:rsid w:val="00905517"/>
    <w:rsid w:val="00907278"/>
    <w:rsid w:val="00907795"/>
    <w:rsid w:val="009153C9"/>
    <w:rsid w:val="0091776B"/>
    <w:rsid w:val="00920042"/>
    <w:rsid w:val="009223C4"/>
    <w:rsid w:val="00926602"/>
    <w:rsid w:val="00933E4B"/>
    <w:rsid w:val="00933F16"/>
    <w:rsid w:val="00936FDF"/>
    <w:rsid w:val="009372FC"/>
    <w:rsid w:val="00937E32"/>
    <w:rsid w:val="00941C2D"/>
    <w:rsid w:val="00941F5F"/>
    <w:rsid w:val="00941FE6"/>
    <w:rsid w:val="0094210F"/>
    <w:rsid w:val="00944CEA"/>
    <w:rsid w:val="009518F0"/>
    <w:rsid w:val="0095210C"/>
    <w:rsid w:val="009554B8"/>
    <w:rsid w:val="00956490"/>
    <w:rsid w:val="00957697"/>
    <w:rsid w:val="00961E05"/>
    <w:rsid w:val="0096228A"/>
    <w:rsid w:val="00963B16"/>
    <w:rsid w:val="00963C07"/>
    <w:rsid w:val="00964713"/>
    <w:rsid w:val="0096495B"/>
    <w:rsid w:val="00965A0C"/>
    <w:rsid w:val="009736DC"/>
    <w:rsid w:val="00975105"/>
    <w:rsid w:val="009753D8"/>
    <w:rsid w:val="00975B4A"/>
    <w:rsid w:val="009763AF"/>
    <w:rsid w:val="00976D4C"/>
    <w:rsid w:val="00981F91"/>
    <w:rsid w:val="00990133"/>
    <w:rsid w:val="0099046A"/>
    <w:rsid w:val="00992E10"/>
    <w:rsid w:val="0099402E"/>
    <w:rsid w:val="00994A7C"/>
    <w:rsid w:val="00994A9C"/>
    <w:rsid w:val="00995E3C"/>
    <w:rsid w:val="00996356"/>
    <w:rsid w:val="00997003"/>
    <w:rsid w:val="009976A6"/>
    <w:rsid w:val="00997A4E"/>
    <w:rsid w:val="00997D48"/>
    <w:rsid w:val="009A4D05"/>
    <w:rsid w:val="009A5E5A"/>
    <w:rsid w:val="009A7A51"/>
    <w:rsid w:val="009B0C3B"/>
    <w:rsid w:val="009B6107"/>
    <w:rsid w:val="009C0130"/>
    <w:rsid w:val="009C326A"/>
    <w:rsid w:val="009C4356"/>
    <w:rsid w:val="009C7B0A"/>
    <w:rsid w:val="009D09AD"/>
    <w:rsid w:val="009E1501"/>
    <w:rsid w:val="009E4255"/>
    <w:rsid w:val="009E4D13"/>
    <w:rsid w:val="009E5CB7"/>
    <w:rsid w:val="009F3AC9"/>
    <w:rsid w:val="009F3EBC"/>
    <w:rsid w:val="009F6A7C"/>
    <w:rsid w:val="00A0020E"/>
    <w:rsid w:val="00A00418"/>
    <w:rsid w:val="00A03688"/>
    <w:rsid w:val="00A05E3F"/>
    <w:rsid w:val="00A06A4B"/>
    <w:rsid w:val="00A077A1"/>
    <w:rsid w:val="00A15F85"/>
    <w:rsid w:val="00A23756"/>
    <w:rsid w:val="00A300F3"/>
    <w:rsid w:val="00A31161"/>
    <w:rsid w:val="00A3262A"/>
    <w:rsid w:val="00A3523A"/>
    <w:rsid w:val="00A36A80"/>
    <w:rsid w:val="00A37C80"/>
    <w:rsid w:val="00A408AA"/>
    <w:rsid w:val="00A45050"/>
    <w:rsid w:val="00A46E3C"/>
    <w:rsid w:val="00A47C03"/>
    <w:rsid w:val="00A50355"/>
    <w:rsid w:val="00A50D57"/>
    <w:rsid w:val="00A52E49"/>
    <w:rsid w:val="00A532C3"/>
    <w:rsid w:val="00A557D3"/>
    <w:rsid w:val="00A567EC"/>
    <w:rsid w:val="00A57307"/>
    <w:rsid w:val="00A64283"/>
    <w:rsid w:val="00A67798"/>
    <w:rsid w:val="00A752B7"/>
    <w:rsid w:val="00A76212"/>
    <w:rsid w:val="00A767BA"/>
    <w:rsid w:val="00A80A85"/>
    <w:rsid w:val="00A82D8D"/>
    <w:rsid w:val="00A833A0"/>
    <w:rsid w:val="00A86658"/>
    <w:rsid w:val="00A86C63"/>
    <w:rsid w:val="00A86D56"/>
    <w:rsid w:val="00A87826"/>
    <w:rsid w:val="00A878B8"/>
    <w:rsid w:val="00A91166"/>
    <w:rsid w:val="00A913D0"/>
    <w:rsid w:val="00A9235C"/>
    <w:rsid w:val="00A9339A"/>
    <w:rsid w:val="00A95AB4"/>
    <w:rsid w:val="00AA210C"/>
    <w:rsid w:val="00AA22F7"/>
    <w:rsid w:val="00AA3922"/>
    <w:rsid w:val="00AA40DE"/>
    <w:rsid w:val="00AA4CDD"/>
    <w:rsid w:val="00AA6AAB"/>
    <w:rsid w:val="00AA72CA"/>
    <w:rsid w:val="00AB0C6B"/>
    <w:rsid w:val="00AB1A65"/>
    <w:rsid w:val="00AB24BF"/>
    <w:rsid w:val="00AB278E"/>
    <w:rsid w:val="00AB3864"/>
    <w:rsid w:val="00AB4231"/>
    <w:rsid w:val="00AC02D6"/>
    <w:rsid w:val="00AC1226"/>
    <w:rsid w:val="00AC211B"/>
    <w:rsid w:val="00AC374C"/>
    <w:rsid w:val="00AC4956"/>
    <w:rsid w:val="00AC6DFD"/>
    <w:rsid w:val="00AC72D3"/>
    <w:rsid w:val="00AD2643"/>
    <w:rsid w:val="00AD4498"/>
    <w:rsid w:val="00AD4948"/>
    <w:rsid w:val="00AE4011"/>
    <w:rsid w:val="00AE43D7"/>
    <w:rsid w:val="00AE472C"/>
    <w:rsid w:val="00AE4D83"/>
    <w:rsid w:val="00AE51C4"/>
    <w:rsid w:val="00AE5A6F"/>
    <w:rsid w:val="00AF5497"/>
    <w:rsid w:val="00B01C93"/>
    <w:rsid w:val="00B0412D"/>
    <w:rsid w:val="00B04EE0"/>
    <w:rsid w:val="00B10F60"/>
    <w:rsid w:val="00B11163"/>
    <w:rsid w:val="00B11232"/>
    <w:rsid w:val="00B1524C"/>
    <w:rsid w:val="00B17FEF"/>
    <w:rsid w:val="00B21C45"/>
    <w:rsid w:val="00B30D59"/>
    <w:rsid w:val="00B348A6"/>
    <w:rsid w:val="00B34F4D"/>
    <w:rsid w:val="00B35F13"/>
    <w:rsid w:val="00B3614D"/>
    <w:rsid w:val="00B37273"/>
    <w:rsid w:val="00B43965"/>
    <w:rsid w:val="00B46746"/>
    <w:rsid w:val="00B52EA7"/>
    <w:rsid w:val="00B5501B"/>
    <w:rsid w:val="00B559A2"/>
    <w:rsid w:val="00B57A13"/>
    <w:rsid w:val="00B6050A"/>
    <w:rsid w:val="00B60BC7"/>
    <w:rsid w:val="00B6493F"/>
    <w:rsid w:val="00B65A32"/>
    <w:rsid w:val="00B6633B"/>
    <w:rsid w:val="00B67018"/>
    <w:rsid w:val="00B7191A"/>
    <w:rsid w:val="00B73895"/>
    <w:rsid w:val="00B74310"/>
    <w:rsid w:val="00B74B3F"/>
    <w:rsid w:val="00B77629"/>
    <w:rsid w:val="00B801FB"/>
    <w:rsid w:val="00B8043C"/>
    <w:rsid w:val="00B80706"/>
    <w:rsid w:val="00B8445C"/>
    <w:rsid w:val="00B903E7"/>
    <w:rsid w:val="00B907D5"/>
    <w:rsid w:val="00B91183"/>
    <w:rsid w:val="00B912C1"/>
    <w:rsid w:val="00B92DA2"/>
    <w:rsid w:val="00B9331F"/>
    <w:rsid w:val="00B94406"/>
    <w:rsid w:val="00B94586"/>
    <w:rsid w:val="00B9649A"/>
    <w:rsid w:val="00B9652C"/>
    <w:rsid w:val="00B96D33"/>
    <w:rsid w:val="00BA345A"/>
    <w:rsid w:val="00BA4769"/>
    <w:rsid w:val="00BA60CD"/>
    <w:rsid w:val="00BA6FB6"/>
    <w:rsid w:val="00BA78FA"/>
    <w:rsid w:val="00BB7F12"/>
    <w:rsid w:val="00BC11CE"/>
    <w:rsid w:val="00BC191E"/>
    <w:rsid w:val="00BC22C6"/>
    <w:rsid w:val="00BC3D12"/>
    <w:rsid w:val="00BC4C08"/>
    <w:rsid w:val="00BC505D"/>
    <w:rsid w:val="00BC6C24"/>
    <w:rsid w:val="00BC6CA0"/>
    <w:rsid w:val="00BD2EF0"/>
    <w:rsid w:val="00BD40CD"/>
    <w:rsid w:val="00BD4DE4"/>
    <w:rsid w:val="00BE03BA"/>
    <w:rsid w:val="00BE094B"/>
    <w:rsid w:val="00BE1167"/>
    <w:rsid w:val="00BE7CC5"/>
    <w:rsid w:val="00BE7EC3"/>
    <w:rsid w:val="00C02A55"/>
    <w:rsid w:val="00C03118"/>
    <w:rsid w:val="00C05B8E"/>
    <w:rsid w:val="00C069CE"/>
    <w:rsid w:val="00C104E2"/>
    <w:rsid w:val="00C1298E"/>
    <w:rsid w:val="00C15864"/>
    <w:rsid w:val="00C216DD"/>
    <w:rsid w:val="00C217D9"/>
    <w:rsid w:val="00C27087"/>
    <w:rsid w:val="00C27B6A"/>
    <w:rsid w:val="00C35D4D"/>
    <w:rsid w:val="00C46CDC"/>
    <w:rsid w:val="00C47E91"/>
    <w:rsid w:val="00C47FCB"/>
    <w:rsid w:val="00C50CF4"/>
    <w:rsid w:val="00C529B2"/>
    <w:rsid w:val="00C52FF9"/>
    <w:rsid w:val="00C53095"/>
    <w:rsid w:val="00C5323B"/>
    <w:rsid w:val="00C55384"/>
    <w:rsid w:val="00C57469"/>
    <w:rsid w:val="00C613F3"/>
    <w:rsid w:val="00C640F6"/>
    <w:rsid w:val="00C64446"/>
    <w:rsid w:val="00C65441"/>
    <w:rsid w:val="00C654EC"/>
    <w:rsid w:val="00C71CBA"/>
    <w:rsid w:val="00C734CE"/>
    <w:rsid w:val="00C746DE"/>
    <w:rsid w:val="00C74F22"/>
    <w:rsid w:val="00C76858"/>
    <w:rsid w:val="00C779E0"/>
    <w:rsid w:val="00C77BF5"/>
    <w:rsid w:val="00C77CC8"/>
    <w:rsid w:val="00C85FA0"/>
    <w:rsid w:val="00C94F16"/>
    <w:rsid w:val="00C958B8"/>
    <w:rsid w:val="00CA0031"/>
    <w:rsid w:val="00CA0551"/>
    <w:rsid w:val="00CA1BB5"/>
    <w:rsid w:val="00CB0B93"/>
    <w:rsid w:val="00CB0FDA"/>
    <w:rsid w:val="00CB7B33"/>
    <w:rsid w:val="00CC28E6"/>
    <w:rsid w:val="00CC488A"/>
    <w:rsid w:val="00CC5DB5"/>
    <w:rsid w:val="00CC73A6"/>
    <w:rsid w:val="00CD09D9"/>
    <w:rsid w:val="00CD1FF3"/>
    <w:rsid w:val="00CD52FF"/>
    <w:rsid w:val="00CD623E"/>
    <w:rsid w:val="00CD6F9E"/>
    <w:rsid w:val="00CE2E2D"/>
    <w:rsid w:val="00CE5204"/>
    <w:rsid w:val="00CE765C"/>
    <w:rsid w:val="00CF2301"/>
    <w:rsid w:val="00CF38AE"/>
    <w:rsid w:val="00CF5590"/>
    <w:rsid w:val="00CF6FBA"/>
    <w:rsid w:val="00CF70EE"/>
    <w:rsid w:val="00CF73C1"/>
    <w:rsid w:val="00CF79CC"/>
    <w:rsid w:val="00D0273B"/>
    <w:rsid w:val="00D028FD"/>
    <w:rsid w:val="00D03DFB"/>
    <w:rsid w:val="00D05BC1"/>
    <w:rsid w:val="00D05F0F"/>
    <w:rsid w:val="00D06D46"/>
    <w:rsid w:val="00D0702D"/>
    <w:rsid w:val="00D11C9C"/>
    <w:rsid w:val="00D13502"/>
    <w:rsid w:val="00D1602C"/>
    <w:rsid w:val="00D1606F"/>
    <w:rsid w:val="00D1651C"/>
    <w:rsid w:val="00D22783"/>
    <w:rsid w:val="00D278D3"/>
    <w:rsid w:val="00D32417"/>
    <w:rsid w:val="00D32E75"/>
    <w:rsid w:val="00D337E9"/>
    <w:rsid w:val="00D352F2"/>
    <w:rsid w:val="00D40CCC"/>
    <w:rsid w:val="00D428BE"/>
    <w:rsid w:val="00D46833"/>
    <w:rsid w:val="00D522CD"/>
    <w:rsid w:val="00D626B2"/>
    <w:rsid w:val="00D65C2D"/>
    <w:rsid w:val="00D67B88"/>
    <w:rsid w:val="00D72096"/>
    <w:rsid w:val="00D757A4"/>
    <w:rsid w:val="00D75A9B"/>
    <w:rsid w:val="00D76BB9"/>
    <w:rsid w:val="00D77C8E"/>
    <w:rsid w:val="00D77E31"/>
    <w:rsid w:val="00D800A8"/>
    <w:rsid w:val="00D81A33"/>
    <w:rsid w:val="00D82350"/>
    <w:rsid w:val="00D85C3A"/>
    <w:rsid w:val="00D85D03"/>
    <w:rsid w:val="00D86649"/>
    <w:rsid w:val="00D929D8"/>
    <w:rsid w:val="00D9353A"/>
    <w:rsid w:val="00D97EFE"/>
    <w:rsid w:val="00DA1147"/>
    <w:rsid w:val="00DA17C7"/>
    <w:rsid w:val="00DA23FF"/>
    <w:rsid w:val="00DA2AEA"/>
    <w:rsid w:val="00DA36AB"/>
    <w:rsid w:val="00DA50E7"/>
    <w:rsid w:val="00DA5B65"/>
    <w:rsid w:val="00DA7785"/>
    <w:rsid w:val="00DB0F45"/>
    <w:rsid w:val="00DB2206"/>
    <w:rsid w:val="00DB7575"/>
    <w:rsid w:val="00DC464A"/>
    <w:rsid w:val="00DC4696"/>
    <w:rsid w:val="00DC4AEF"/>
    <w:rsid w:val="00DD261C"/>
    <w:rsid w:val="00DD3148"/>
    <w:rsid w:val="00DD6A03"/>
    <w:rsid w:val="00DD7C5F"/>
    <w:rsid w:val="00DE1019"/>
    <w:rsid w:val="00DE46EA"/>
    <w:rsid w:val="00DE66BC"/>
    <w:rsid w:val="00DF3F50"/>
    <w:rsid w:val="00DF67C5"/>
    <w:rsid w:val="00DF6D77"/>
    <w:rsid w:val="00DF6F51"/>
    <w:rsid w:val="00DF78AB"/>
    <w:rsid w:val="00E02528"/>
    <w:rsid w:val="00E06DF0"/>
    <w:rsid w:val="00E27DB5"/>
    <w:rsid w:val="00E3191D"/>
    <w:rsid w:val="00E32445"/>
    <w:rsid w:val="00E32FB6"/>
    <w:rsid w:val="00E3396C"/>
    <w:rsid w:val="00E37AFB"/>
    <w:rsid w:val="00E400FB"/>
    <w:rsid w:val="00E40EE3"/>
    <w:rsid w:val="00E416F1"/>
    <w:rsid w:val="00E45AB3"/>
    <w:rsid w:val="00E523C1"/>
    <w:rsid w:val="00E5286C"/>
    <w:rsid w:val="00E5493D"/>
    <w:rsid w:val="00E5628F"/>
    <w:rsid w:val="00E56865"/>
    <w:rsid w:val="00E60745"/>
    <w:rsid w:val="00E610F7"/>
    <w:rsid w:val="00E62C91"/>
    <w:rsid w:val="00E65D28"/>
    <w:rsid w:val="00E66A46"/>
    <w:rsid w:val="00E67644"/>
    <w:rsid w:val="00E74332"/>
    <w:rsid w:val="00E751CE"/>
    <w:rsid w:val="00E7614B"/>
    <w:rsid w:val="00E76A94"/>
    <w:rsid w:val="00E80099"/>
    <w:rsid w:val="00E80C49"/>
    <w:rsid w:val="00E821CD"/>
    <w:rsid w:val="00E831E3"/>
    <w:rsid w:val="00E832C9"/>
    <w:rsid w:val="00E8514D"/>
    <w:rsid w:val="00E862CF"/>
    <w:rsid w:val="00E879FF"/>
    <w:rsid w:val="00E911C0"/>
    <w:rsid w:val="00E91CFC"/>
    <w:rsid w:val="00E95947"/>
    <w:rsid w:val="00E96530"/>
    <w:rsid w:val="00EA3BA3"/>
    <w:rsid w:val="00EA626F"/>
    <w:rsid w:val="00EA627C"/>
    <w:rsid w:val="00EA7E2E"/>
    <w:rsid w:val="00EB3428"/>
    <w:rsid w:val="00EC7DEB"/>
    <w:rsid w:val="00ED5735"/>
    <w:rsid w:val="00ED5747"/>
    <w:rsid w:val="00ED7141"/>
    <w:rsid w:val="00EE0654"/>
    <w:rsid w:val="00EF0726"/>
    <w:rsid w:val="00EF4583"/>
    <w:rsid w:val="00EF57D9"/>
    <w:rsid w:val="00EF6ECF"/>
    <w:rsid w:val="00F01E61"/>
    <w:rsid w:val="00F01FD9"/>
    <w:rsid w:val="00F04B47"/>
    <w:rsid w:val="00F1515A"/>
    <w:rsid w:val="00F15BFC"/>
    <w:rsid w:val="00F205F8"/>
    <w:rsid w:val="00F213F8"/>
    <w:rsid w:val="00F23AA4"/>
    <w:rsid w:val="00F24296"/>
    <w:rsid w:val="00F24BA6"/>
    <w:rsid w:val="00F26602"/>
    <w:rsid w:val="00F332DF"/>
    <w:rsid w:val="00F33DBA"/>
    <w:rsid w:val="00F34698"/>
    <w:rsid w:val="00F37E1B"/>
    <w:rsid w:val="00F42C05"/>
    <w:rsid w:val="00F42E83"/>
    <w:rsid w:val="00F434D3"/>
    <w:rsid w:val="00F45AA4"/>
    <w:rsid w:val="00F45C5B"/>
    <w:rsid w:val="00F460E9"/>
    <w:rsid w:val="00F46112"/>
    <w:rsid w:val="00F50958"/>
    <w:rsid w:val="00F51643"/>
    <w:rsid w:val="00F517B7"/>
    <w:rsid w:val="00F53210"/>
    <w:rsid w:val="00F5374A"/>
    <w:rsid w:val="00F55A4E"/>
    <w:rsid w:val="00F6060B"/>
    <w:rsid w:val="00F6074F"/>
    <w:rsid w:val="00F62022"/>
    <w:rsid w:val="00F62572"/>
    <w:rsid w:val="00F6583E"/>
    <w:rsid w:val="00F6590C"/>
    <w:rsid w:val="00F65C79"/>
    <w:rsid w:val="00F66322"/>
    <w:rsid w:val="00F67D67"/>
    <w:rsid w:val="00F712FD"/>
    <w:rsid w:val="00F74DC7"/>
    <w:rsid w:val="00F766CB"/>
    <w:rsid w:val="00F779C5"/>
    <w:rsid w:val="00F81337"/>
    <w:rsid w:val="00F8177E"/>
    <w:rsid w:val="00F82379"/>
    <w:rsid w:val="00F83041"/>
    <w:rsid w:val="00F84A54"/>
    <w:rsid w:val="00F85721"/>
    <w:rsid w:val="00F86EDF"/>
    <w:rsid w:val="00F87AD2"/>
    <w:rsid w:val="00F90062"/>
    <w:rsid w:val="00F9130B"/>
    <w:rsid w:val="00F94A79"/>
    <w:rsid w:val="00F958E6"/>
    <w:rsid w:val="00F95936"/>
    <w:rsid w:val="00F959BC"/>
    <w:rsid w:val="00F96408"/>
    <w:rsid w:val="00F967FB"/>
    <w:rsid w:val="00F96D34"/>
    <w:rsid w:val="00FA0B86"/>
    <w:rsid w:val="00FA11D2"/>
    <w:rsid w:val="00FA1999"/>
    <w:rsid w:val="00FA220D"/>
    <w:rsid w:val="00FA25EB"/>
    <w:rsid w:val="00FA438D"/>
    <w:rsid w:val="00FA4E3D"/>
    <w:rsid w:val="00FA65FF"/>
    <w:rsid w:val="00FB151B"/>
    <w:rsid w:val="00FB3447"/>
    <w:rsid w:val="00FB4141"/>
    <w:rsid w:val="00FB4BEB"/>
    <w:rsid w:val="00FB4EDF"/>
    <w:rsid w:val="00FB4EF1"/>
    <w:rsid w:val="00FB613C"/>
    <w:rsid w:val="00FB6817"/>
    <w:rsid w:val="00FB7C24"/>
    <w:rsid w:val="00FC0AF1"/>
    <w:rsid w:val="00FC2118"/>
    <w:rsid w:val="00FC3F6C"/>
    <w:rsid w:val="00FC52DC"/>
    <w:rsid w:val="00FD0C48"/>
    <w:rsid w:val="00FD48BC"/>
    <w:rsid w:val="00FD5D44"/>
    <w:rsid w:val="00FD6A9A"/>
    <w:rsid w:val="00FE0D8E"/>
    <w:rsid w:val="00FE1545"/>
    <w:rsid w:val="00FE182E"/>
    <w:rsid w:val="00FE20EA"/>
    <w:rsid w:val="00FE275D"/>
    <w:rsid w:val="00FF0CC9"/>
    <w:rsid w:val="00FF10FC"/>
    <w:rsid w:val="00FF48B3"/>
    <w:rsid w:val="00FF4D21"/>
    <w:rsid w:val="00FF7231"/>
    <w:rsid w:val="0244762F"/>
    <w:rsid w:val="028D1322"/>
    <w:rsid w:val="06AF66BA"/>
    <w:rsid w:val="0A79276B"/>
    <w:rsid w:val="288739DE"/>
    <w:rsid w:val="5331203A"/>
    <w:rsid w:val="55AF535C"/>
    <w:rsid w:val="58E22BE5"/>
    <w:rsid w:val="60DB276D"/>
    <w:rsid w:val="7BC521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Balloon Text"/>
    <w:basedOn w:val="1"/>
    <w:link w:val="15"/>
    <w:semiHidden/>
    <w:unhideWhenUsed/>
    <w:qFormat/>
    <w:uiPriority w:val="99"/>
    <w:rPr>
      <w:sz w:val="18"/>
      <w:szCs w:val="18"/>
    </w:rPr>
  </w:style>
  <w:style w:type="paragraph" w:styleId="4">
    <w:name w:val="footer"/>
    <w:basedOn w:val="1"/>
    <w:link w:val="17"/>
    <w:unhideWhenUsed/>
    <w:qFormat/>
    <w:uiPriority w:val="99"/>
    <w:pPr>
      <w:tabs>
        <w:tab w:val="center" w:pos="4153"/>
        <w:tab w:val="right" w:pos="8306"/>
      </w:tabs>
      <w:snapToGrid w:val="0"/>
      <w:jc w:val="left"/>
    </w:pPr>
    <w:rPr>
      <w:sz w:val="18"/>
      <w:szCs w:val="18"/>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rFonts w:eastAsia="仿宋_GB2312"/>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14"/>
    <w:semiHidden/>
    <w:unhideWhenUsed/>
    <w:qFormat/>
    <w:uiPriority w:val="99"/>
    <w:rPr>
      <w:b/>
      <w:bCs/>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semiHidden/>
    <w:unhideWhenUsed/>
    <w:qFormat/>
    <w:uiPriority w:val="99"/>
    <w:rPr>
      <w:sz w:val="21"/>
      <w:szCs w:val="21"/>
    </w:rPr>
  </w:style>
  <w:style w:type="paragraph" w:styleId="12">
    <w:name w:val="List Paragraph"/>
    <w:basedOn w:val="1"/>
    <w:qFormat/>
    <w:uiPriority w:val="34"/>
    <w:pPr>
      <w:ind w:firstLine="420" w:firstLineChars="200"/>
    </w:pPr>
  </w:style>
  <w:style w:type="character" w:customStyle="1" w:styleId="13">
    <w:name w:val="批注文字 Char"/>
    <w:basedOn w:val="10"/>
    <w:link w:val="2"/>
    <w:semiHidden/>
    <w:qFormat/>
    <w:uiPriority w:val="99"/>
  </w:style>
  <w:style w:type="character" w:customStyle="1" w:styleId="14">
    <w:name w:val="批注主题 Char"/>
    <w:basedOn w:val="13"/>
    <w:link w:val="7"/>
    <w:semiHidden/>
    <w:qFormat/>
    <w:uiPriority w:val="99"/>
    <w:rPr>
      <w:b/>
      <w:bCs/>
    </w:rPr>
  </w:style>
  <w:style w:type="character" w:customStyle="1" w:styleId="15">
    <w:name w:val="批注框文本 Char"/>
    <w:basedOn w:val="10"/>
    <w:link w:val="3"/>
    <w:semiHidden/>
    <w:qFormat/>
    <w:uiPriority w:val="99"/>
    <w:rPr>
      <w:sz w:val="18"/>
      <w:szCs w:val="18"/>
    </w:rPr>
  </w:style>
  <w:style w:type="character" w:customStyle="1" w:styleId="16">
    <w:name w:val="页眉 Char"/>
    <w:basedOn w:val="10"/>
    <w:link w:val="5"/>
    <w:qFormat/>
    <w:uiPriority w:val="99"/>
    <w:rPr>
      <w:rFonts w:eastAsia="仿宋_GB2312"/>
      <w:sz w:val="18"/>
      <w:szCs w:val="18"/>
    </w:rPr>
  </w:style>
  <w:style w:type="character" w:customStyle="1" w:styleId="17">
    <w:name w:val="页脚 Char"/>
    <w:basedOn w:val="10"/>
    <w:link w:val="4"/>
    <w:qFormat/>
    <w:uiPriority w:val="99"/>
    <w:rPr>
      <w:sz w:val="18"/>
      <w:szCs w:val="18"/>
    </w:rPr>
  </w:style>
  <w:style w:type="paragraph" w:customStyle="1" w:styleId="18">
    <w:name w:val="列出段落1"/>
    <w:basedOn w:val="1"/>
    <w:qFormat/>
    <w:uiPriority w:val="34"/>
    <w:pPr>
      <w:ind w:firstLine="420" w:firstLineChars="200"/>
    </w:pPr>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FD3706-B1F8-4804-AE09-313626FCBCB8}">
  <ds:schemaRefs/>
</ds:datastoreItem>
</file>

<file path=docProps/app.xml><?xml version="1.0" encoding="utf-8"?>
<Properties xmlns="http://schemas.openxmlformats.org/officeDocument/2006/extended-properties" xmlns:vt="http://schemas.openxmlformats.org/officeDocument/2006/docPropsVTypes">
  <Template>Normal</Template>
  <Company>chinapnr</Company>
  <Pages>11</Pages>
  <Words>2627</Words>
  <Characters>14976</Characters>
  <Lines>124</Lines>
  <Paragraphs>35</Paragraphs>
  <TotalTime>8</TotalTime>
  <ScaleCrop>false</ScaleCrop>
  <LinksUpToDate>false</LinksUpToDate>
  <CharactersWithSpaces>17568</CharactersWithSpaces>
  <Application>WPS Office_11.1.0.10700_F1E327BC-269C-435d-A152-05C5408002CA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2020-05-09T09:22:00Z</dcterms:created>
  <dc:creator>赖洁</dc:creator>
  <cp:lastModifiedBy>敏</cp:lastModifiedBy>
  <cp:lastPrinted>2019-01-14T08:01:00Z</cp:lastPrinted>
  <dcterms:modified xsi:type="dcterms:W3CDTF">2021-12-24T02:19:35Z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4B1A3B1F2FF0433AA26CBF8867E90D66</vt:lpwstr>
  </property>
</Properties>
</file>