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CBBC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EECE1CE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AAA1ACB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2E29D2D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1BAE7E5B">
      <w:pPr>
        <w:ind w:firstLine="560"/>
        <w:jc w:val="center"/>
        <w:rPr>
          <w:rFonts w:hint="eastAsia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  <w:t>安全生产信息化系统</w:t>
      </w:r>
    </w:p>
    <w:p w14:paraId="248608C0">
      <w:pPr>
        <w:ind w:firstLine="560"/>
        <w:jc w:val="center"/>
        <w:rPr>
          <w:rFonts w:hint="default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  <w:t>独立部署版本</w:t>
      </w:r>
    </w:p>
    <w:p w14:paraId="2281D826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865F90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82A5D9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EE7B55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92358F9">
      <w:pPr>
        <w:ind w:firstLine="560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40E83D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报</w:t>
      </w:r>
    </w:p>
    <w:p w14:paraId="17AD9C9B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价</w:t>
      </w:r>
    </w:p>
    <w:p w14:paraId="324D114A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方</w:t>
      </w:r>
    </w:p>
    <w:p w14:paraId="0D2092B8">
      <w:pPr>
        <w:spacing w:line="700" w:lineRule="exact"/>
        <w:ind w:firstLine="195" w:firstLineChars="27"/>
        <w:jc w:val="center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案</w:t>
      </w:r>
    </w:p>
    <w:p w14:paraId="2C906C39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9443B8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340B93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154940</wp:posOffset>
            </wp:positionV>
            <wp:extent cx="1440815" cy="1440815"/>
            <wp:effectExtent l="0" t="0" r="6985" b="6985"/>
            <wp:wrapNone/>
            <wp:docPr id="4" name="图片 4" descr="安全科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全科技电子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F43579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9D8CC2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80DA68">
      <w:pPr>
        <w:ind w:firstLine="64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江苏安胜达安全科技有限公司</w:t>
      </w:r>
    </w:p>
    <w:p w14:paraId="46FBE729">
      <w:pP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DB27971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安全生产信息化系统功能点简介</w:t>
      </w:r>
    </w:p>
    <w:p w14:paraId="52339F98">
      <w:pPr>
        <w:pStyle w:val="13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安全生产信息化系统终端为电脑web端（下称PC端）以及移动端小程序（下称移动端）。</w:t>
      </w:r>
    </w:p>
    <w:p w14:paraId="0FFA1DF8">
      <w:pPr>
        <w:pStyle w:val="13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安全生产信息化系统主要包含基础管理、现场管理、双重预防、教育培训、查询中心等五大功能模块以及工作台、系统管理两大系统模块。其各自包含的子模块如下：</w:t>
      </w:r>
    </w:p>
    <w:p w14:paraId="2DEEE80A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工作台：个人需要操作的功能模块汇总以及个人信息相关看板。</w:t>
      </w:r>
    </w:p>
    <w:p w14:paraId="73D68B69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基础管理：企业基本数字资料台账管理。包括但不限于企业管理、目标职责、制度化管理、应急管理、事故管理、职业健康资料管理、安全生产费用等模块。</w:t>
      </w:r>
    </w:p>
    <w:p w14:paraId="4C0A3212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现场管理：涉及相关方现场作业等相关内容的管理。包括但不限于八大作业管理、通用作业管理、设备设施管理、现场检查、相关方管理等模块。</w:t>
      </w:r>
    </w:p>
    <w:p w14:paraId="12EAF50A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双重预防：企业双重预防相关工作。包括但不限于风险分级管控、隐患排查治理、重大危险源等模块。</w:t>
      </w:r>
    </w:p>
    <w:p w14:paraId="5538ECC2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教育培训：企业培训相关内容。包括但不限于线上培训和线下培训等模块。</w:t>
      </w:r>
    </w:p>
    <w:p w14:paraId="1EB552BC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查询中心：系统相关开放性数据的查询功能。包括但不限于隐患查询、风险查询等。</w:t>
      </w:r>
    </w:p>
    <w:p w14:paraId="000161D2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38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系统管理：系统相关的设置和一些基础数据配置。包括但不限于组织机构、字典管理、角色管理、提醒管理等。</w:t>
      </w:r>
    </w:p>
    <w:p w14:paraId="595568EF">
      <w:pP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4B74A3DF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安全生产信息化系统独立部署版本报价情况及服务类目</w:t>
      </w:r>
    </w:p>
    <w:p w14:paraId="33A5FB91">
      <w:pPr>
        <w:pStyle w:val="13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私有化部署：</w:t>
      </w:r>
    </w:p>
    <w:p w14:paraId="5FC0F4F6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服务器、网关、防火墙等设备需要甲方自行选购。</w:t>
      </w:r>
    </w:p>
    <w:p w14:paraId="00A2C363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我方承担项目的本地化部署工作（备注：此费用仅涵盖系统本地部署，不包含服务器购买、网关、防火墙等设备设施相关费用），项目本地化部署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总价拟定为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150000元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：此价格为指导价，可根据实际情况灵活调整。但若报价低于120000元，或仅对部分功能进行独立部署时，请提前与信息技术部人员沟通协商。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）。</w:t>
      </w:r>
      <w:bookmarkStart w:id="0" w:name="_GoBack"/>
      <w:bookmarkEnd w:id="0"/>
    </w:p>
    <w:p w14:paraId="4951D982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部署后版本为固定版本，赠送一年全包售后维护（含：系统维护指导、系统操作培训、系统漏洞维修等）；一年后，系统运维按照独立部署费用的8%/年收取，提供日常监控与巡检、定期性能调优与清理、漏洞维修、数据容灾等服务。若需系统功能升级，则按照实际工作量评估计算费用。</w:t>
      </w:r>
    </w:p>
    <w:p w14:paraId="09A60C95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甲方本地部署版本默认不提供线上AI识别服务。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如需使用，需甲方服务器为我方服务开通服务接入白名单，费用额外按照10000元/年收取。</w:t>
      </w:r>
    </w:p>
    <w:p w14:paraId="3ED618D1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若甲方存在使用我方数据模板、相关资料库等资源的需求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（备注：此类“数据库”中的资料需额外从其他平台调用获取，非安全生产信息化系统自带内容）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，则甲方需将其服务器为我方服务开通服务接入白名单。同时，针对此项服务，将额外按照10000元/年收取。</w:t>
      </w:r>
    </w:p>
    <w:p w14:paraId="0C185177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以上类目涉及硬件均为非国产，若有国产软、硬件适配需求，则需根据实际适配成本另议。</w:t>
      </w:r>
    </w:p>
    <w:p w14:paraId="19D8FD5A">
      <w:pP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1F03A88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系统额外定制</w:t>
      </w:r>
    </w:p>
    <w:p w14:paraId="1CE93A2B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独立部署监控大屏默认为线上通用版本；若需定制，定制费用依据功能复杂度另议。</w:t>
      </w:r>
    </w:p>
    <w:p w14:paraId="37A13E3F">
      <w:pPr>
        <w:pStyle w:val="13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firstLine="403" w:firstLineChars="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其他需求变动定制化，将在原功能版本价格基础上，依实际需求改动、新增的工作量进行评估；若产生收费，届时出具新报价单。</w:t>
      </w:r>
    </w:p>
    <w:p w14:paraId="009F9215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甲方应明确的内容</w:t>
      </w:r>
    </w:p>
    <w:p w14:paraId="0D117629">
      <w:pPr>
        <w:pStyle w:val="13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服务器、数据库、网关等型号，参数等；下列为服务器最低配置要求：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2"/>
        <w:gridCol w:w="6447"/>
      </w:tblGrid>
      <w:tr w14:paraId="6634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2212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313BF41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操作系统</w:t>
            </w:r>
          </w:p>
        </w:tc>
        <w:tc>
          <w:tcPr>
            <w:tcW w:w="6447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FA1E180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CentOS 7.6 64位</w:t>
            </w:r>
          </w:p>
        </w:tc>
      </w:tr>
      <w:tr w14:paraId="117A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2212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81FFA3D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CPU</w:t>
            </w:r>
          </w:p>
        </w:tc>
        <w:tc>
          <w:tcPr>
            <w:tcW w:w="6447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9752361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≥8核</w:t>
            </w:r>
          </w:p>
        </w:tc>
      </w:tr>
      <w:tr w14:paraId="17E6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2212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9161D50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内存</w:t>
            </w:r>
          </w:p>
        </w:tc>
        <w:tc>
          <w:tcPr>
            <w:tcW w:w="6447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E22F020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≥16GB</w:t>
            </w:r>
          </w:p>
        </w:tc>
      </w:tr>
      <w:tr w14:paraId="5469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2212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00CE483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磁盘</w:t>
            </w:r>
          </w:p>
        </w:tc>
        <w:tc>
          <w:tcPr>
            <w:tcW w:w="6447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10485BE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≥500GB</w:t>
            </w:r>
          </w:p>
        </w:tc>
      </w:tr>
      <w:tr w14:paraId="4AF6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2212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20DAD31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带宽</w:t>
            </w:r>
          </w:p>
        </w:tc>
        <w:tc>
          <w:tcPr>
            <w:tcW w:w="6447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815D551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≥100Mbps</w:t>
            </w:r>
          </w:p>
        </w:tc>
      </w:tr>
      <w:tr w14:paraId="7C8C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212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77CCB07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机器要求</w:t>
            </w:r>
          </w:p>
        </w:tc>
        <w:tc>
          <w:tcPr>
            <w:tcW w:w="6447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755B308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</w:rPr>
              <w:t>云主机&amp;物理机</w:t>
            </w:r>
          </w:p>
        </w:tc>
      </w:tr>
      <w:tr w14:paraId="4F7F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212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8C69A31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机器台数</w:t>
            </w:r>
          </w:p>
        </w:tc>
        <w:tc>
          <w:tcPr>
            <w:tcW w:w="6447" w:type="dxa"/>
            <w:tcBorders>
              <w:top w:val="single" w:color="CBCDD1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25F6CE1">
            <w:pPr>
              <w:pStyle w:val="8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按实际需求而定</w:t>
            </w:r>
          </w:p>
        </w:tc>
      </w:tr>
    </w:tbl>
    <w:p w14:paraId="5B762B43">
      <w:pPr>
        <w:pStyle w:val="13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甲方需明确是否有数据备份、数据加密、容灾等需求。</w:t>
      </w:r>
    </w:p>
    <w:p w14:paraId="2FA4EB40">
      <w:pPr>
        <w:pStyle w:val="13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00" w:firstLineChars="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网络环境是否能开放对外的端口。</w:t>
      </w:r>
    </w:p>
    <w:p w14:paraId="60829A5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03" w:leftChars="0"/>
        <w:textAlignment w:val="auto"/>
        <w:rPr>
          <w:rFonts w:hint="default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备注：关于进一步合作所需的资料或相关信息，待合同签订后，可联系信息技术部门的同事协同处理；以上内容供销售同事参考，作为回复甲方的标准话术。</w:t>
      </w:r>
    </w:p>
    <w:sectPr>
      <w:headerReference r:id="rId3" w:type="default"/>
      <w:footerReference r:id="rId4" w:type="default"/>
      <w:pgSz w:w="11906" w:h="16838"/>
      <w:pgMar w:top="1418" w:right="1418" w:bottom="1134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6C45">
    <w:pPr>
      <w:pStyle w:val="5"/>
      <w:wordWrap w:val="0"/>
      <w:ind w:right="180"/>
      <w:jc w:val="right"/>
      <w:rPr>
        <w:rFonts w:hint="default" w:ascii="华文细黑" w:hAnsi="华文细黑" w:eastAsia="华文细黑"/>
        <w:sz w:val="21"/>
        <w:lang w:val="en-US" w:eastAsia="zh-CN"/>
      </w:rPr>
    </w:pPr>
    <w:r>
      <w:rPr>
        <w:rFonts w:ascii="华文细黑" w:hAnsi="华文细黑" w:eastAsia="华文细黑"/>
      </w:rPr>
      <w:t>202</w:t>
    </w:r>
    <w:r>
      <w:rPr>
        <w:rFonts w:hint="eastAsia" w:ascii="华文细黑" w:hAnsi="华文细黑" w:eastAsia="华文细黑"/>
        <w:lang w:val="en-US" w:eastAsia="zh-CN"/>
      </w:rPr>
      <w:t>5</w:t>
    </w:r>
    <w:r>
      <w:rPr>
        <w:rFonts w:ascii="华文细黑" w:hAnsi="华文细黑" w:eastAsia="华文细黑"/>
      </w:rPr>
      <w:t>年0</w:t>
    </w:r>
    <w:r>
      <w:rPr>
        <w:rFonts w:hint="default" w:ascii="华文细黑" w:hAnsi="华文细黑" w:eastAsia="华文细黑"/>
        <w:lang w:val="en-US"/>
      </w:rPr>
      <w:t>9</w:t>
    </w:r>
    <w:r>
      <w:rPr>
        <w:rFonts w:ascii="华文细黑" w:hAnsi="华文细黑" w:eastAsia="华文细黑"/>
      </w:rPr>
      <w:t>月</w:t>
    </w:r>
    <w:r>
      <w:rPr>
        <w:rFonts w:hint="default" w:ascii="华文细黑" w:hAnsi="华文细黑" w:eastAsia="华文细黑"/>
        <w:lang w:val="en-US"/>
      </w:rPr>
      <w:t>01</w:t>
    </w:r>
    <w:r>
      <w:rPr>
        <w:rFonts w:hint="eastAsia" w:ascii="华文细黑" w:hAnsi="华文细黑" w:eastAsia="华文细黑"/>
        <w:lang w:val="en-US" w:eastAsia="zh-CN"/>
      </w:rPr>
      <w:t>日</w:t>
    </w:r>
    <w:r>
      <w:rPr>
        <w:rFonts w:hint="eastAsia" w:ascii="华文细黑" w:hAnsi="华文细黑" w:eastAsia="华文细黑"/>
      </w:rPr>
      <w:t>修订</w:t>
    </w:r>
    <w:r>
      <w:rPr>
        <w:rFonts w:hint="eastAsia" w:ascii="华文细黑" w:hAnsi="华文细黑" w:eastAsia="华文细黑"/>
        <w:lang w:val="en-US" w:eastAsia="zh-CN"/>
      </w:rPr>
      <w:t xml:space="preserve"> 基于软件版本3.0.1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9F36"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right"/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-287655</wp:posOffset>
          </wp:positionV>
          <wp:extent cx="1658620" cy="719455"/>
          <wp:effectExtent l="0" t="0" r="0" b="0"/>
          <wp:wrapNone/>
          <wp:docPr id="1" name="图片 1" descr="安胜达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安胜达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679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黑体" w:hAnsi="黑体" w:eastAsia="黑体"/>
        <w:szCs w:val="21"/>
      </w:rPr>
      <w:t>江苏安胜达</w:t>
    </w:r>
    <w:r>
      <w:rPr>
        <w:rFonts w:hint="eastAsia" w:ascii="黑体" w:hAnsi="黑体" w:eastAsia="黑体"/>
        <w:szCs w:val="21"/>
      </w:rPr>
      <w:t>安全科技</w:t>
    </w:r>
    <w:r>
      <w:rPr>
        <w:rFonts w:ascii="黑体" w:hAnsi="黑体" w:eastAsia="黑体"/>
        <w:szCs w:val="21"/>
      </w:rPr>
      <w:t>有限公司</w:t>
    </w:r>
  </w:p>
  <w:p w14:paraId="5D852608"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right"/>
      <w:rPr>
        <w:rFonts w:ascii="黑体" w:hAnsi="黑体" w:eastAsia="黑体"/>
        <w:szCs w:val="21"/>
      </w:rPr>
    </w:pPr>
    <w:r>
      <w:rPr>
        <w:rFonts w:ascii="黑体" w:hAnsi="黑体" w:eastAsia="黑体"/>
        <w:szCs w:val="21"/>
      </w:rPr>
      <w:t xml:space="preserve">Jiangsu </w:t>
    </w:r>
    <w:r>
      <w:rPr>
        <w:rFonts w:hint="eastAsia" w:ascii="黑体" w:hAnsi="黑体" w:eastAsia="黑体"/>
        <w:szCs w:val="21"/>
        <w:lang w:val="en-US" w:eastAsia="zh-CN"/>
      </w:rPr>
      <w:t>A</w:t>
    </w:r>
    <w:r>
      <w:rPr>
        <w:rFonts w:ascii="黑体" w:hAnsi="黑体" w:eastAsia="黑体"/>
        <w:szCs w:val="21"/>
      </w:rPr>
      <w:t>scenda safety technology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24D5B"/>
    <w:multiLevelType w:val="multilevel"/>
    <w:tmpl w:val="DFB24D5B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28"/>
    <w:rsid w:val="00013053"/>
    <w:rsid w:val="00036EA0"/>
    <w:rsid w:val="000469FC"/>
    <w:rsid w:val="00076628"/>
    <w:rsid w:val="001257D5"/>
    <w:rsid w:val="00131FEF"/>
    <w:rsid w:val="001769D9"/>
    <w:rsid w:val="00182AAB"/>
    <w:rsid w:val="001870C5"/>
    <w:rsid w:val="001913E7"/>
    <w:rsid w:val="001A4BFE"/>
    <w:rsid w:val="001A4F88"/>
    <w:rsid w:val="0023249B"/>
    <w:rsid w:val="00244375"/>
    <w:rsid w:val="00293196"/>
    <w:rsid w:val="002B0EFB"/>
    <w:rsid w:val="002B23AF"/>
    <w:rsid w:val="002D5AA3"/>
    <w:rsid w:val="002D7494"/>
    <w:rsid w:val="002E383F"/>
    <w:rsid w:val="002E390D"/>
    <w:rsid w:val="0031380D"/>
    <w:rsid w:val="00327692"/>
    <w:rsid w:val="003825E2"/>
    <w:rsid w:val="0038542D"/>
    <w:rsid w:val="003C4C36"/>
    <w:rsid w:val="003D7439"/>
    <w:rsid w:val="003F3C38"/>
    <w:rsid w:val="0040113F"/>
    <w:rsid w:val="004C6633"/>
    <w:rsid w:val="004F097C"/>
    <w:rsid w:val="004F68C3"/>
    <w:rsid w:val="00536C15"/>
    <w:rsid w:val="005B176C"/>
    <w:rsid w:val="005C11AE"/>
    <w:rsid w:val="005D5EE8"/>
    <w:rsid w:val="005E66AF"/>
    <w:rsid w:val="00662375"/>
    <w:rsid w:val="006826F0"/>
    <w:rsid w:val="006874A4"/>
    <w:rsid w:val="00696924"/>
    <w:rsid w:val="00696D96"/>
    <w:rsid w:val="006D5B1C"/>
    <w:rsid w:val="006D7624"/>
    <w:rsid w:val="006E346D"/>
    <w:rsid w:val="006F454E"/>
    <w:rsid w:val="00702003"/>
    <w:rsid w:val="00727C10"/>
    <w:rsid w:val="00745D3B"/>
    <w:rsid w:val="0076734C"/>
    <w:rsid w:val="00770633"/>
    <w:rsid w:val="00774816"/>
    <w:rsid w:val="00797D3F"/>
    <w:rsid w:val="007A2536"/>
    <w:rsid w:val="007A56D2"/>
    <w:rsid w:val="007B452B"/>
    <w:rsid w:val="007B48C5"/>
    <w:rsid w:val="007C5199"/>
    <w:rsid w:val="007C63F6"/>
    <w:rsid w:val="007E2999"/>
    <w:rsid w:val="00836795"/>
    <w:rsid w:val="00894A17"/>
    <w:rsid w:val="008A6E10"/>
    <w:rsid w:val="008A790F"/>
    <w:rsid w:val="008C4FF4"/>
    <w:rsid w:val="008E75D6"/>
    <w:rsid w:val="009855E5"/>
    <w:rsid w:val="009D3F3B"/>
    <w:rsid w:val="009D657D"/>
    <w:rsid w:val="00A27B7D"/>
    <w:rsid w:val="00A57D12"/>
    <w:rsid w:val="00AA325A"/>
    <w:rsid w:val="00AD3388"/>
    <w:rsid w:val="00AF2363"/>
    <w:rsid w:val="00AF42A9"/>
    <w:rsid w:val="00B10593"/>
    <w:rsid w:val="00B34998"/>
    <w:rsid w:val="00B676BB"/>
    <w:rsid w:val="00BD3A84"/>
    <w:rsid w:val="00C202BC"/>
    <w:rsid w:val="00C2481B"/>
    <w:rsid w:val="00C54442"/>
    <w:rsid w:val="00C71F6F"/>
    <w:rsid w:val="00C73444"/>
    <w:rsid w:val="00C8399F"/>
    <w:rsid w:val="00C85B28"/>
    <w:rsid w:val="00CC328D"/>
    <w:rsid w:val="00CC380A"/>
    <w:rsid w:val="00CE1616"/>
    <w:rsid w:val="00CE7E34"/>
    <w:rsid w:val="00D14431"/>
    <w:rsid w:val="00D23850"/>
    <w:rsid w:val="00D349F6"/>
    <w:rsid w:val="00D42353"/>
    <w:rsid w:val="00D84C95"/>
    <w:rsid w:val="00DD688B"/>
    <w:rsid w:val="00E73D26"/>
    <w:rsid w:val="00EA66A4"/>
    <w:rsid w:val="00F41F1D"/>
    <w:rsid w:val="00F42DD2"/>
    <w:rsid w:val="00F66839"/>
    <w:rsid w:val="00F72611"/>
    <w:rsid w:val="00FD5603"/>
    <w:rsid w:val="00FD5CFC"/>
    <w:rsid w:val="01141165"/>
    <w:rsid w:val="015B6D94"/>
    <w:rsid w:val="016054B8"/>
    <w:rsid w:val="018004EC"/>
    <w:rsid w:val="01EF5D5B"/>
    <w:rsid w:val="01F64D0F"/>
    <w:rsid w:val="02331ABF"/>
    <w:rsid w:val="028805C0"/>
    <w:rsid w:val="02CC42A5"/>
    <w:rsid w:val="02E54564"/>
    <w:rsid w:val="03535D03"/>
    <w:rsid w:val="038521FF"/>
    <w:rsid w:val="03C50E3C"/>
    <w:rsid w:val="03D41080"/>
    <w:rsid w:val="03F37758"/>
    <w:rsid w:val="04A96068"/>
    <w:rsid w:val="056F2E0E"/>
    <w:rsid w:val="05B670BC"/>
    <w:rsid w:val="06304C93"/>
    <w:rsid w:val="06734B80"/>
    <w:rsid w:val="06F061D0"/>
    <w:rsid w:val="07520C39"/>
    <w:rsid w:val="076A5F83"/>
    <w:rsid w:val="07725472"/>
    <w:rsid w:val="07CC4EFA"/>
    <w:rsid w:val="07EC4BEA"/>
    <w:rsid w:val="08DA2C94"/>
    <w:rsid w:val="098B20DA"/>
    <w:rsid w:val="0B41349E"/>
    <w:rsid w:val="0C3E56C8"/>
    <w:rsid w:val="0C7278C6"/>
    <w:rsid w:val="0CF926D3"/>
    <w:rsid w:val="0D307327"/>
    <w:rsid w:val="0D3F756A"/>
    <w:rsid w:val="0E440BB0"/>
    <w:rsid w:val="0E8867FA"/>
    <w:rsid w:val="0F825E34"/>
    <w:rsid w:val="0F9022FF"/>
    <w:rsid w:val="0FBD50BE"/>
    <w:rsid w:val="0FDD306A"/>
    <w:rsid w:val="10207B26"/>
    <w:rsid w:val="102D2243"/>
    <w:rsid w:val="10A77AD5"/>
    <w:rsid w:val="10BC4C3F"/>
    <w:rsid w:val="113969C6"/>
    <w:rsid w:val="11627CCB"/>
    <w:rsid w:val="119C228C"/>
    <w:rsid w:val="11B04EDA"/>
    <w:rsid w:val="12323B41"/>
    <w:rsid w:val="135950FD"/>
    <w:rsid w:val="13C91FE9"/>
    <w:rsid w:val="145C4EA5"/>
    <w:rsid w:val="14BE346A"/>
    <w:rsid w:val="156D6C3E"/>
    <w:rsid w:val="15FFBE81"/>
    <w:rsid w:val="1647124B"/>
    <w:rsid w:val="16F0584E"/>
    <w:rsid w:val="174B1947"/>
    <w:rsid w:val="176C18A3"/>
    <w:rsid w:val="17800EAB"/>
    <w:rsid w:val="1804388A"/>
    <w:rsid w:val="188F4F54"/>
    <w:rsid w:val="189A2101"/>
    <w:rsid w:val="189E3CDE"/>
    <w:rsid w:val="18A47D72"/>
    <w:rsid w:val="18AB01A9"/>
    <w:rsid w:val="18C55952"/>
    <w:rsid w:val="19E412E9"/>
    <w:rsid w:val="19E82A2B"/>
    <w:rsid w:val="1A3F504D"/>
    <w:rsid w:val="1AC75042"/>
    <w:rsid w:val="1B83540D"/>
    <w:rsid w:val="1C163B8C"/>
    <w:rsid w:val="1CBA09BB"/>
    <w:rsid w:val="1CCB0E1A"/>
    <w:rsid w:val="1CEB14BC"/>
    <w:rsid w:val="1D1D719C"/>
    <w:rsid w:val="1D743260"/>
    <w:rsid w:val="1DC6606F"/>
    <w:rsid w:val="1DF83E91"/>
    <w:rsid w:val="1E396257"/>
    <w:rsid w:val="1E8B305B"/>
    <w:rsid w:val="1ECB6640"/>
    <w:rsid w:val="1F3029DA"/>
    <w:rsid w:val="1FD46237"/>
    <w:rsid w:val="1FEA5A5B"/>
    <w:rsid w:val="20BD07A6"/>
    <w:rsid w:val="220646A2"/>
    <w:rsid w:val="226118D9"/>
    <w:rsid w:val="22DE117B"/>
    <w:rsid w:val="23720241"/>
    <w:rsid w:val="23990716"/>
    <w:rsid w:val="23FF80B9"/>
    <w:rsid w:val="240227C4"/>
    <w:rsid w:val="24305A06"/>
    <w:rsid w:val="248024EA"/>
    <w:rsid w:val="24835FC5"/>
    <w:rsid w:val="24BE3012"/>
    <w:rsid w:val="24CE594B"/>
    <w:rsid w:val="259B3353"/>
    <w:rsid w:val="272E26D1"/>
    <w:rsid w:val="27673E35"/>
    <w:rsid w:val="27DB3C85"/>
    <w:rsid w:val="27F57487"/>
    <w:rsid w:val="27FBA02A"/>
    <w:rsid w:val="288B3B53"/>
    <w:rsid w:val="28B210E0"/>
    <w:rsid w:val="28D92054"/>
    <w:rsid w:val="28E36FAE"/>
    <w:rsid w:val="291B4ED7"/>
    <w:rsid w:val="2A6308E4"/>
    <w:rsid w:val="2AB47391"/>
    <w:rsid w:val="2AE936D1"/>
    <w:rsid w:val="2B724B56"/>
    <w:rsid w:val="2C4604BD"/>
    <w:rsid w:val="2CCA7E8A"/>
    <w:rsid w:val="2EAD65D1"/>
    <w:rsid w:val="2EFA9F63"/>
    <w:rsid w:val="2F1F0B51"/>
    <w:rsid w:val="2F7E7F6E"/>
    <w:rsid w:val="2FE75B13"/>
    <w:rsid w:val="2FECC785"/>
    <w:rsid w:val="300C557A"/>
    <w:rsid w:val="30C3032E"/>
    <w:rsid w:val="311B6BEC"/>
    <w:rsid w:val="313034EA"/>
    <w:rsid w:val="3154611C"/>
    <w:rsid w:val="3186135C"/>
    <w:rsid w:val="31E00A6C"/>
    <w:rsid w:val="31E16592"/>
    <w:rsid w:val="31E85B72"/>
    <w:rsid w:val="33254F16"/>
    <w:rsid w:val="34BA1A48"/>
    <w:rsid w:val="34CE54F3"/>
    <w:rsid w:val="35782EF4"/>
    <w:rsid w:val="360867E3"/>
    <w:rsid w:val="3619454C"/>
    <w:rsid w:val="36FA25D0"/>
    <w:rsid w:val="36FD707E"/>
    <w:rsid w:val="370451FC"/>
    <w:rsid w:val="374FDBA4"/>
    <w:rsid w:val="375C6DE7"/>
    <w:rsid w:val="37F4A31A"/>
    <w:rsid w:val="37F76553"/>
    <w:rsid w:val="38B8629F"/>
    <w:rsid w:val="392E47B3"/>
    <w:rsid w:val="39461AFC"/>
    <w:rsid w:val="39642A9D"/>
    <w:rsid w:val="39A98B4F"/>
    <w:rsid w:val="3A2406E3"/>
    <w:rsid w:val="3A916DA7"/>
    <w:rsid w:val="3AF4550E"/>
    <w:rsid w:val="3B143534"/>
    <w:rsid w:val="3B9D5C20"/>
    <w:rsid w:val="3CFD4BC8"/>
    <w:rsid w:val="3D923FBC"/>
    <w:rsid w:val="3E3363C7"/>
    <w:rsid w:val="3EDF3E22"/>
    <w:rsid w:val="3F1C3149"/>
    <w:rsid w:val="3F361D47"/>
    <w:rsid w:val="3F4F7231"/>
    <w:rsid w:val="3F74480C"/>
    <w:rsid w:val="3FAFB590"/>
    <w:rsid w:val="3FBF2B23"/>
    <w:rsid w:val="40175FA1"/>
    <w:rsid w:val="40672358"/>
    <w:rsid w:val="407D1B7C"/>
    <w:rsid w:val="409475F1"/>
    <w:rsid w:val="40BC4452"/>
    <w:rsid w:val="41393CF5"/>
    <w:rsid w:val="419D0727"/>
    <w:rsid w:val="41F30347"/>
    <w:rsid w:val="422F0BBB"/>
    <w:rsid w:val="432A7D99"/>
    <w:rsid w:val="441F3676"/>
    <w:rsid w:val="443609BF"/>
    <w:rsid w:val="44CD4E80"/>
    <w:rsid w:val="45EF71F0"/>
    <w:rsid w:val="463255E8"/>
    <w:rsid w:val="4685487C"/>
    <w:rsid w:val="46EC35B7"/>
    <w:rsid w:val="4721277A"/>
    <w:rsid w:val="477535AD"/>
    <w:rsid w:val="47A448B1"/>
    <w:rsid w:val="4860425D"/>
    <w:rsid w:val="49725FF6"/>
    <w:rsid w:val="49C66341"/>
    <w:rsid w:val="4A0B01F8"/>
    <w:rsid w:val="4A471983"/>
    <w:rsid w:val="4AD8457E"/>
    <w:rsid w:val="4AF85A91"/>
    <w:rsid w:val="4B3C2D5F"/>
    <w:rsid w:val="4B413ED2"/>
    <w:rsid w:val="4BA72539"/>
    <w:rsid w:val="4BD27F54"/>
    <w:rsid w:val="4C362BEE"/>
    <w:rsid w:val="4CFEF240"/>
    <w:rsid w:val="4DBF4537"/>
    <w:rsid w:val="4DFE60AA"/>
    <w:rsid w:val="4E676345"/>
    <w:rsid w:val="4E920EE8"/>
    <w:rsid w:val="4F6F6DF3"/>
    <w:rsid w:val="4FBD2A9E"/>
    <w:rsid w:val="4FD01CC8"/>
    <w:rsid w:val="4FD3CC7D"/>
    <w:rsid w:val="4FD5108C"/>
    <w:rsid w:val="4FD76556"/>
    <w:rsid w:val="4FDF6BD0"/>
    <w:rsid w:val="50485D02"/>
    <w:rsid w:val="507E1724"/>
    <w:rsid w:val="50A82C45"/>
    <w:rsid w:val="50E7551B"/>
    <w:rsid w:val="50EA1269"/>
    <w:rsid w:val="51EB6275"/>
    <w:rsid w:val="51F5382D"/>
    <w:rsid w:val="52B66A45"/>
    <w:rsid w:val="53163E96"/>
    <w:rsid w:val="533D58C6"/>
    <w:rsid w:val="53591FD4"/>
    <w:rsid w:val="53BF452D"/>
    <w:rsid w:val="53C7491B"/>
    <w:rsid w:val="53DF15FF"/>
    <w:rsid w:val="55327769"/>
    <w:rsid w:val="55B66DC1"/>
    <w:rsid w:val="56707D61"/>
    <w:rsid w:val="56982E14"/>
    <w:rsid w:val="56BA722E"/>
    <w:rsid w:val="56FD1E64"/>
    <w:rsid w:val="57164D97"/>
    <w:rsid w:val="575C02E5"/>
    <w:rsid w:val="58005114"/>
    <w:rsid w:val="590F3861"/>
    <w:rsid w:val="59140E77"/>
    <w:rsid w:val="593257A1"/>
    <w:rsid w:val="595B50D7"/>
    <w:rsid w:val="598A2EE8"/>
    <w:rsid w:val="5A749FF8"/>
    <w:rsid w:val="5ABD553F"/>
    <w:rsid w:val="5B4517BC"/>
    <w:rsid w:val="5B4812AC"/>
    <w:rsid w:val="5BFB4559"/>
    <w:rsid w:val="5C62639E"/>
    <w:rsid w:val="5C8D226C"/>
    <w:rsid w:val="5C904CB9"/>
    <w:rsid w:val="5CAE15E3"/>
    <w:rsid w:val="5D811E11"/>
    <w:rsid w:val="5DCF3368"/>
    <w:rsid w:val="5DF327BE"/>
    <w:rsid w:val="5EDD934E"/>
    <w:rsid w:val="5F17A98C"/>
    <w:rsid w:val="5F73239A"/>
    <w:rsid w:val="5F7D8A14"/>
    <w:rsid w:val="5FBDA017"/>
    <w:rsid w:val="5FBF7663"/>
    <w:rsid w:val="5FD400FE"/>
    <w:rsid w:val="5FDF23D8"/>
    <w:rsid w:val="5FE1347D"/>
    <w:rsid w:val="5FEDE643"/>
    <w:rsid w:val="5FFFBD84"/>
    <w:rsid w:val="60480921"/>
    <w:rsid w:val="61A86F56"/>
    <w:rsid w:val="62AA45FB"/>
    <w:rsid w:val="641C34A4"/>
    <w:rsid w:val="650E70C3"/>
    <w:rsid w:val="6535464F"/>
    <w:rsid w:val="657D7DA4"/>
    <w:rsid w:val="65F951C8"/>
    <w:rsid w:val="66733869"/>
    <w:rsid w:val="6692162D"/>
    <w:rsid w:val="672E3C89"/>
    <w:rsid w:val="67753429"/>
    <w:rsid w:val="69190C83"/>
    <w:rsid w:val="693B5FAC"/>
    <w:rsid w:val="696574CD"/>
    <w:rsid w:val="69766FE4"/>
    <w:rsid w:val="6AF64881"/>
    <w:rsid w:val="6B127E69"/>
    <w:rsid w:val="6BA936A1"/>
    <w:rsid w:val="6BB81B36"/>
    <w:rsid w:val="6C8B0FF9"/>
    <w:rsid w:val="6CE4695B"/>
    <w:rsid w:val="6CFF74E3"/>
    <w:rsid w:val="6D513FF0"/>
    <w:rsid w:val="6DF42786"/>
    <w:rsid w:val="6E4678CD"/>
    <w:rsid w:val="6E4E6782"/>
    <w:rsid w:val="6EB56801"/>
    <w:rsid w:val="6EDE7B06"/>
    <w:rsid w:val="6EE4105B"/>
    <w:rsid w:val="6EFB5961"/>
    <w:rsid w:val="6F0E2E09"/>
    <w:rsid w:val="6FBC4FF3"/>
    <w:rsid w:val="6FFB8489"/>
    <w:rsid w:val="70A00DEB"/>
    <w:rsid w:val="71F50332"/>
    <w:rsid w:val="72F62F44"/>
    <w:rsid w:val="738A6D0B"/>
    <w:rsid w:val="73B70925"/>
    <w:rsid w:val="73CD1EF7"/>
    <w:rsid w:val="74152B15"/>
    <w:rsid w:val="74493C73"/>
    <w:rsid w:val="745D2417"/>
    <w:rsid w:val="748C1DB2"/>
    <w:rsid w:val="749B3DA3"/>
    <w:rsid w:val="749F1AE5"/>
    <w:rsid w:val="754B7577"/>
    <w:rsid w:val="75DFA5E1"/>
    <w:rsid w:val="75FC3BCA"/>
    <w:rsid w:val="75FF60DD"/>
    <w:rsid w:val="76524935"/>
    <w:rsid w:val="76DE0575"/>
    <w:rsid w:val="77822FF8"/>
    <w:rsid w:val="778E4093"/>
    <w:rsid w:val="77F9FBCD"/>
    <w:rsid w:val="790068CB"/>
    <w:rsid w:val="797A4179"/>
    <w:rsid w:val="79CD1262"/>
    <w:rsid w:val="79D60E00"/>
    <w:rsid w:val="7A1B6705"/>
    <w:rsid w:val="7A6449BB"/>
    <w:rsid w:val="7AD7365B"/>
    <w:rsid w:val="7B486307"/>
    <w:rsid w:val="7B77BCCD"/>
    <w:rsid w:val="7B7AFE03"/>
    <w:rsid w:val="7B7D4202"/>
    <w:rsid w:val="7BBC584C"/>
    <w:rsid w:val="7BC7E0C8"/>
    <w:rsid w:val="7BFD1648"/>
    <w:rsid w:val="7C02295A"/>
    <w:rsid w:val="7C174657"/>
    <w:rsid w:val="7C2B3C5E"/>
    <w:rsid w:val="7C4A4A2C"/>
    <w:rsid w:val="7C923CDE"/>
    <w:rsid w:val="7CC83BA3"/>
    <w:rsid w:val="7CF27248"/>
    <w:rsid w:val="7CFF7CFB"/>
    <w:rsid w:val="7CFFC908"/>
    <w:rsid w:val="7D2F0627"/>
    <w:rsid w:val="7DA37196"/>
    <w:rsid w:val="7DAB2BE7"/>
    <w:rsid w:val="7DB163E5"/>
    <w:rsid w:val="7DBFAB36"/>
    <w:rsid w:val="7DEF1F81"/>
    <w:rsid w:val="7DF61A56"/>
    <w:rsid w:val="7E341E39"/>
    <w:rsid w:val="7F1B48BD"/>
    <w:rsid w:val="7F233313"/>
    <w:rsid w:val="7F39A476"/>
    <w:rsid w:val="7F794364"/>
    <w:rsid w:val="7F7B6CAB"/>
    <w:rsid w:val="7FDD4169"/>
    <w:rsid w:val="7FDD837B"/>
    <w:rsid w:val="7FEFD877"/>
    <w:rsid w:val="82AD44D7"/>
    <w:rsid w:val="8D23608C"/>
    <w:rsid w:val="9EB3DD86"/>
    <w:rsid w:val="9EF777B7"/>
    <w:rsid w:val="9FDC46DA"/>
    <w:rsid w:val="A6FECFC9"/>
    <w:rsid w:val="ADAFF95E"/>
    <w:rsid w:val="AFA5F2FC"/>
    <w:rsid w:val="B16B6900"/>
    <w:rsid w:val="BB778213"/>
    <w:rsid w:val="BDDEFC99"/>
    <w:rsid w:val="BEC78DB9"/>
    <w:rsid w:val="BECB9A2B"/>
    <w:rsid w:val="BEFF7A33"/>
    <w:rsid w:val="BF37FE61"/>
    <w:rsid w:val="BF5F6260"/>
    <w:rsid w:val="BFB2CE0C"/>
    <w:rsid w:val="BFB58E2A"/>
    <w:rsid w:val="BFFF22E8"/>
    <w:rsid w:val="CE76C7A3"/>
    <w:rsid w:val="D5FFE9B9"/>
    <w:rsid w:val="D9979724"/>
    <w:rsid w:val="DBCF0479"/>
    <w:rsid w:val="DBFEA7EC"/>
    <w:rsid w:val="DD79598B"/>
    <w:rsid w:val="DDFFD0C2"/>
    <w:rsid w:val="DFAF775D"/>
    <w:rsid w:val="DFDD94A5"/>
    <w:rsid w:val="E34FC9CD"/>
    <w:rsid w:val="E5ADCBCF"/>
    <w:rsid w:val="E7FF73F1"/>
    <w:rsid w:val="EEEE5A70"/>
    <w:rsid w:val="EEEF7FAF"/>
    <w:rsid w:val="EFAB23A0"/>
    <w:rsid w:val="F7FE6DFB"/>
    <w:rsid w:val="F87D027F"/>
    <w:rsid w:val="F939C159"/>
    <w:rsid w:val="FA7D32CC"/>
    <w:rsid w:val="FB6F4E32"/>
    <w:rsid w:val="FBA20B05"/>
    <w:rsid w:val="FBAEE0F3"/>
    <w:rsid w:val="FBBE6BED"/>
    <w:rsid w:val="FBBFD7C9"/>
    <w:rsid w:val="FBEE8447"/>
    <w:rsid w:val="FCB7D618"/>
    <w:rsid w:val="FDF77907"/>
    <w:rsid w:val="FDFDD8A4"/>
    <w:rsid w:val="FDFF31F9"/>
    <w:rsid w:val="FEEFABBB"/>
    <w:rsid w:val="FEFDEA6A"/>
    <w:rsid w:val="FF6F006F"/>
    <w:rsid w:val="FF7B10C5"/>
    <w:rsid w:val="FFB294D8"/>
    <w:rsid w:val="FFCD0B6F"/>
    <w:rsid w:val="FFD33A9E"/>
    <w:rsid w:val="FFE70FAB"/>
    <w:rsid w:val="FFF5A1C6"/>
    <w:rsid w:val="FFF69D38"/>
    <w:rsid w:val="FFFBF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500" w:lineRule="exact"/>
      <w:jc w:val="left"/>
      <w:outlineLvl w:val="0"/>
    </w:pPr>
    <w:rPr>
      <w:b/>
      <w:bCs/>
      <w:kern w:val="44"/>
      <w:sz w:val="36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line="500" w:lineRule="exact"/>
      <w:ind w:firstLine="200" w:firstLineChars="200"/>
      <w:jc w:val="left"/>
    </w:pPr>
    <w:rPr>
      <w:sz w:val="2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b/>
      <w:bCs/>
      <w:kern w:val="44"/>
      <w:sz w:val="36"/>
      <w:szCs w:val="44"/>
    </w:rPr>
  </w:style>
  <w:style w:type="character" w:customStyle="1" w:styleId="17">
    <w:name w:val="日期 Char"/>
    <w:basedOn w:val="11"/>
    <w:link w:val="3"/>
    <w:semiHidden/>
    <w:qFormat/>
    <w:uiPriority w:val="99"/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1289</Words>
  <Characters>1336</Characters>
  <Lines>26</Lines>
  <Paragraphs>7</Paragraphs>
  <TotalTime>4</TotalTime>
  <ScaleCrop>false</ScaleCrop>
  <LinksUpToDate>false</LinksUpToDate>
  <CharactersWithSpaces>1338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2020-04-27T14:38:00Z</dcterms:created>
  <dc:creator>个人用户</dc:creator>
  <cp:lastModifiedBy>asdhuacong</cp:lastModifiedBy>
  <dcterms:modified xsi:type="dcterms:W3CDTF">2025-10-30T01:29:01Z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2BEFD3EA7BDE2AC47F5B6368AFE2D893_43</vt:lpwstr>
  </property>
  <property fmtid="{D5CDD505-2E9C-101B-9397-08002B2CF9AE}" pid="4" name="KSOTemplateDocerSaveRecord">
    <vt:lpwstr>eyJoZGlkIjoiYmQ3NjQxYmZmN2ZkODIxYWNiNTEzMzQyMTZmNzQ1MmMifQ==</vt:lpwstr>
  </property>
</Properties>
</file>